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156"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金融工程实验室软件采购项目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二〇一七年十一月二十日</w:t>
      </w:r>
    </w:p>
    <w:p>
      <w:pPr>
        <w:spacing w:afterLines="50"/>
        <w:jc w:val="center"/>
        <w:rPr>
          <w:rFonts w:ascii="黑体" w:hAnsi="黑体" w:eastAsia="黑体" w:cs="黑体"/>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964" w:bottom="1440" w:left="918" w:header="851" w:footer="992" w:gutter="0"/>
          <w:pgNumType w:start="1"/>
          <w:cols w:space="720" w:num="1"/>
          <w:titlePg/>
          <w:docGrid w:type="lines" w:linePitch="312" w:charSpace="0"/>
        </w:sectPr>
      </w:pPr>
    </w:p>
    <w:p>
      <w:pPr>
        <w:spacing w:afterLines="50"/>
        <w:jc w:val="center"/>
        <w:rPr>
          <w:rFonts w:ascii="黑体" w:hAnsi="黑体" w:eastAsia="黑体" w:cs="黑体"/>
          <w:sz w:val="52"/>
          <w:szCs w:val="52"/>
        </w:rPr>
      </w:pPr>
      <w:r>
        <w:rPr>
          <w:rFonts w:hint="eastAsia" w:ascii="黑体" w:hAnsi="黑体" w:eastAsia="黑体" w:cs="黑体"/>
          <w:sz w:val="52"/>
          <w:szCs w:val="52"/>
        </w:rPr>
        <w:t>目  录</w:t>
      </w:r>
    </w:p>
    <w:p>
      <w:pPr>
        <w:pStyle w:val="2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5"/>
          <w:rFonts w:hint="eastAsia" w:ascii="黑体" w:hAnsi="黑体" w:eastAsia="黑体"/>
          <w:sz w:val="24"/>
        </w:rPr>
        <w:t>第一部分投标邀请书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5"/>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5"/>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5"/>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5"/>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20"/>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5"/>
          <w:rFonts w:hint="eastAsia" w:ascii="黑体" w:hAnsi="黑体" w:eastAsia="黑体" w:cs="黑体"/>
          <w:sz w:val="24"/>
        </w:rPr>
        <w:t>第二部分投标须知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5"/>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5"/>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5"/>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5"/>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20"/>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5"/>
          <w:rFonts w:hint="eastAsia" w:ascii="黑体" w:hAnsi="黑体" w:eastAsia="黑体" w:cs="黑体"/>
          <w:sz w:val="24"/>
        </w:rPr>
        <w:t>第三部分招标项目清单及技术参数要求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20"/>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5"/>
          <w:rFonts w:hint="eastAsia" w:ascii="黑体" w:hAnsi="黑体" w:eastAsia="黑体" w:cs="黑体"/>
          <w:sz w:val="24"/>
        </w:rPr>
        <w:t>第四部分合同主要条款</w:t>
      </w:r>
      <w:r>
        <w:rPr>
          <w:sz w:val="24"/>
        </w:rPr>
        <w:tab/>
      </w:r>
      <w:r>
        <w:rPr>
          <w:rFonts w:hint="eastAsia"/>
          <w:sz w:val="24"/>
        </w:rPr>
        <w:t>1</w:t>
      </w:r>
      <w:r>
        <w:rPr>
          <w:rFonts w:hint="eastAsia"/>
          <w:sz w:val="24"/>
        </w:rPr>
        <w:fldChar w:fldCharType="end"/>
      </w:r>
      <w:r>
        <w:rPr>
          <w:rFonts w:hint="eastAsia"/>
          <w:sz w:val="24"/>
          <w:lang w:val="en-US" w:eastAsia="zh-CN"/>
        </w:rPr>
        <w:t>7</w:t>
      </w:r>
    </w:p>
    <w:p>
      <w:pPr>
        <w:pStyle w:val="21"/>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5"/>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lang w:val="en-US" w:eastAsia="zh-CN"/>
        </w:rPr>
        <w:t>7</w:t>
      </w:r>
    </w:p>
    <w:p>
      <w:pPr>
        <w:pStyle w:val="21"/>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5"/>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lang w:val="en-US" w:eastAsia="zh-CN"/>
        </w:rPr>
        <w:t>8</w:t>
      </w:r>
    </w:p>
    <w:p>
      <w:pPr>
        <w:pStyle w:val="21"/>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5"/>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lang w:val="en-US" w:eastAsia="zh-CN"/>
        </w:rPr>
        <w:t>9</w:t>
      </w:r>
    </w:p>
    <w:p>
      <w:pPr>
        <w:pStyle w:val="21"/>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5"/>
          <w:rFonts w:hint="eastAsia" w:ascii="仿宋" w:hAnsi="仿宋" w:eastAsia="仿宋" w:cs="仿宋"/>
          <w:sz w:val="24"/>
        </w:rPr>
        <w:t>四、 付款方式</w:t>
      </w:r>
      <w:r>
        <w:rPr>
          <w:sz w:val="24"/>
        </w:rPr>
        <w:tab/>
      </w:r>
      <w:r>
        <w:rPr>
          <w:rFonts w:hint="eastAsia"/>
          <w:sz w:val="24"/>
          <w:lang w:val="en-US" w:eastAsia="zh-CN"/>
        </w:rPr>
        <w:t>2</w:t>
      </w:r>
      <w:r>
        <w:rPr>
          <w:rFonts w:hint="eastAsia"/>
          <w:sz w:val="24"/>
        </w:rPr>
        <w:fldChar w:fldCharType="end"/>
      </w:r>
      <w:r>
        <w:rPr>
          <w:rFonts w:hint="eastAsia"/>
          <w:sz w:val="24"/>
          <w:lang w:val="en-US" w:eastAsia="zh-CN"/>
        </w:rPr>
        <w:t>0</w:t>
      </w:r>
    </w:p>
    <w:p>
      <w:pPr>
        <w:pStyle w:val="20"/>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5"/>
          <w:rFonts w:hint="eastAsia" w:ascii="黑体" w:hAnsi="黑体" w:eastAsia="黑体" w:cs="黑体"/>
          <w:sz w:val="24"/>
        </w:rPr>
        <w:t>第五部分附件</w:t>
      </w:r>
      <w:r>
        <w:rPr>
          <w:sz w:val="24"/>
        </w:rPr>
        <w:tab/>
      </w:r>
      <w:r>
        <w:rPr>
          <w:rFonts w:hint="eastAsia"/>
          <w:sz w:val="24"/>
          <w:lang w:val="en-US" w:eastAsia="zh-CN"/>
        </w:rPr>
        <w:t>2</w:t>
      </w:r>
      <w:r>
        <w:rPr>
          <w:rFonts w:hint="eastAsia"/>
          <w:sz w:val="24"/>
        </w:rPr>
        <w:fldChar w:fldCharType="end"/>
      </w:r>
      <w:r>
        <w:rPr>
          <w:rFonts w:hint="eastAsia"/>
          <w:sz w:val="24"/>
          <w:lang w:val="en-US" w:eastAsia="zh-CN"/>
        </w:rPr>
        <w:t>1</w:t>
      </w:r>
    </w:p>
    <w:p>
      <w:pPr>
        <w:pStyle w:val="21"/>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5"/>
          <w:rFonts w:hint="eastAsia" w:ascii="仿宋" w:hAnsi="仿宋" w:eastAsia="仿宋" w:cs="仿宋"/>
          <w:b/>
          <w:sz w:val="24"/>
        </w:rPr>
        <w:t>开标一览表</w:t>
      </w:r>
      <w:r>
        <w:rPr>
          <w:sz w:val="24"/>
        </w:rPr>
        <w:tab/>
      </w:r>
      <w:r>
        <w:rPr>
          <w:sz w:val="24"/>
        </w:rPr>
        <w:fldChar w:fldCharType="end"/>
      </w:r>
      <w:r>
        <w:rPr>
          <w:rFonts w:hint="eastAsia"/>
          <w:sz w:val="24"/>
          <w:lang w:val="en-US" w:eastAsia="zh-CN"/>
        </w:rPr>
        <w:t>21</w:t>
      </w:r>
    </w:p>
    <w:p>
      <w:pPr>
        <w:pStyle w:val="21"/>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5"/>
          <w:rFonts w:hint="eastAsia" w:ascii="仿宋" w:hAnsi="仿宋" w:eastAsia="仿宋" w:cs="仿宋"/>
          <w:b/>
          <w:sz w:val="24"/>
        </w:rPr>
        <w:t>投标函</w:t>
      </w:r>
      <w:r>
        <w:rPr>
          <w:sz w:val="24"/>
        </w:rPr>
        <w:tab/>
      </w:r>
      <w:r>
        <w:rPr>
          <w:sz w:val="24"/>
        </w:rPr>
        <w:fldChar w:fldCharType="end"/>
      </w:r>
      <w:r>
        <w:rPr>
          <w:rFonts w:hint="eastAsia"/>
          <w:sz w:val="24"/>
          <w:lang w:val="en-US" w:eastAsia="zh-CN"/>
        </w:rPr>
        <w:t>22</w:t>
      </w:r>
    </w:p>
    <w:p>
      <w:pPr>
        <w:pStyle w:val="21"/>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5"/>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lang w:val="en-US" w:eastAsia="zh-CN"/>
        </w:rPr>
        <w:t>3</w:t>
      </w:r>
      <w:r>
        <w:rPr>
          <w:rFonts w:hint="eastAsia"/>
          <w:sz w:val="24"/>
        </w:rPr>
        <w:t xml:space="preserve"> </w:t>
      </w:r>
    </w:p>
    <w:p>
      <w:pPr>
        <w:pStyle w:val="21"/>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5"/>
          <w:rFonts w:hint="eastAsia" w:ascii="仿宋" w:hAnsi="仿宋" w:eastAsia="仿宋" w:cs="仿宋"/>
          <w:b/>
          <w:sz w:val="24"/>
        </w:rPr>
        <w:t>技术参数与商务条款偏离表</w:t>
      </w:r>
      <w:r>
        <w:rPr>
          <w:sz w:val="24"/>
        </w:rPr>
        <w:tab/>
      </w:r>
      <w:r>
        <w:rPr>
          <w:sz w:val="24"/>
        </w:rPr>
        <w:fldChar w:fldCharType="end"/>
      </w:r>
      <w:r>
        <w:rPr>
          <w:rFonts w:hint="eastAsia"/>
          <w:sz w:val="24"/>
        </w:rPr>
        <w:t>2</w:t>
      </w:r>
      <w:r>
        <w:rPr>
          <w:rFonts w:hint="eastAsia"/>
          <w:sz w:val="24"/>
          <w:lang w:val="en-US" w:eastAsia="zh-CN"/>
        </w:rPr>
        <w:t>4</w:t>
      </w:r>
    </w:p>
    <w:p>
      <w:pPr>
        <w:tabs>
          <w:tab w:val="left" w:pos="8545"/>
        </w:tabs>
        <w:spacing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rPr>
      </w:pPr>
      <w:bookmarkStart w:id="0" w:name="_Toc373500451"/>
      <w:bookmarkStart w:id="1" w:name="_Toc373486298"/>
      <w:bookmarkStart w:id="2" w:name="_Toc373485985"/>
      <w:bookmarkStart w:id="3" w:name="_Toc1640"/>
    </w:p>
    <w:p>
      <w:pPr>
        <w:jc w:val="left"/>
      </w:pPr>
      <w:r>
        <w:br w:type="page"/>
      </w:r>
      <w:r>
        <w:rPr>
          <w:rFonts w:hint="eastAsia"/>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金融工程实验室软件采购项目招标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5986"/>
      <w:bookmarkStart w:id="5" w:name="_Toc373500452"/>
      <w:bookmarkStart w:id="6" w:name="_Toc373486299"/>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 w:hAnsi="仿宋" w:eastAsia="仿宋" w:cs="仿宋"/>
          <w:sz w:val="28"/>
          <w:szCs w:val="28"/>
          <w:u w:val="single"/>
        </w:rPr>
      </w:pPr>
      <w:r>
        <w:rPr>
          <w:rFonts w:hint="eastAsia" w:ascii="仿宋_GB2312" w:hAnsi="仿宋_GB2312" w:eastAsia="仿宋_GB2312"/>
          <w:sz w:val="28"/>
        </w:rPr>
        <w:t>（一）项目名称：</w:t>
      </w:r>
      <w:r>
        <w:rPr>
          <w:rFonts w:hint="eastAsia" w:ascii="仿宋" w:hAnsi="仿宋" w:eastAsia="仿宋" w:cs="仿宋"/>
          <w:sz w:val="28"/>
          <w:szCs w:val="28"/>
          <w:u w:val="single"/>
        </w:rPr>
        <w:t>金融工程实验室软件采购项目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500453"/>
      <w:bookmarkStart w:id="8" w:name="_Toc373485987"/>
      <w:bookmarkStart w:id="9" w:name="_Toc373486300"/>
      <w:r>
        <w:rPr>
          <w:rFonts w:hint="eastAsia" w:ascii="仿宋_GB2312" w:hAnsi="仿宋_GB2312" w:eastAsia="仿宋_GB2312"/>
          <w:sz w:val="28"/>
        </w:rPr>
        <w:t>二、投标截止时间及方式</w:t>
      </w:r>
      <w:bookmarkEnd w:id="7"/>
      <w:bookmarkEnd w:id="8"/>
      <w:bookmarkEnd w:id="9"/>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2017年11月2</w:t>
      </w:r>
      <w:r>
        <w:rPr>
          <w:rFonts w:hint="eastAsia" w:ascii="仿宋_GB2312" w:hAnsi="仿宋_GB2312" w:eastAsia="仿宋_GB2312"/>
          <w:b/>
          <w:bCs/>
          <w:sz w:val="28"/>
          <w:lang w:val="en-US" w:eastAsia="zh-CN"/>
        </w:rPr>
        <w:t>9</w:t>
      </w:r>
      <w:bookmarkStart w:id="71" w:name="_GoBack"/>
      <w:bookmarkEnd w:id="71"/>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6301"/>
      <w:bookmarkStart w:id="11" w:name="_Toc373500454"/>
      <w:bookmarkStart w:id="12" w:name="_Toc373485988"/>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6302"/>
      <w:bookmarkStart w:id="14" w:name="_Toc373500455"/>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联系人：王老师                   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Lines="100" w:afterLines="100"/>
        <w:jc w:val="center"/>
        <w:outlineLvl w:val="0"/>
        <w:rPr>
          <w:rFonts w:ascii="黑体" w:hAnsi="黑体" w:eastAsia="黑体" w:cs="黑体"/>
          <w:sz w:val="44"/>
          <w:szCs w:val="44"/>
        </w:rPr>
      </w:pPr>
      <w:bookmarkStart w:id="16" w:name="_Toc373485990"/>
      <w:bookmarkStart w:id="17" w:name="_Toc373500456"/>
      <w:bookmarkStart w:id="18" w:name="_Toc373486303"/>
    </w:p>
    <w:p>
      <w:pPr>
        <w:spacing w:beforeLines="100"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500457"/>
      <w:bookmarkStart w:id="20" w:name="_Toc373486304"/>
      <w:bookmarkStart w:id="21" w:name="_Toc373485991"/>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373485992"/>
      <w:bookmarkStart w:id="24" w:name="_Toc373500458"/>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485993"/>
      <w:bookmarkStart w:id="27" w:name="_Toc373500459"/>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485994"/>
      <w:bookmarkStart w:id="29" w:name="_Toc373500460"/>
      <w:bookmarkStart w:id="30" w:name="_Toc373486307"/>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6"/>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Lines="100" w:afterLines="100"/>
        <w:jc w:val="center"/>
        <w:outlineLvl w:val="0"/>
        <w:rPr>
          <w:rFonts w:ascii="黑体" w:hAnsi="黑体" w:eastAsia="黑体" w:cs="黑体"/>
          <w:sz w:val="44"/>
          <w:szCs w:val="44"/>
        </w:rPr>
      </w:pPr>
      <w:bookmarkStart w:id="31" w:name="_Toc373486308"/>
      <w:bookmarkStart w:id="32" w:name="_Toc373500461"/>
      <w:bookmarkStart w:id="33" w:name="_Toc373485995"/>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500462"/>
      <w:bookmarkStart w:id="36"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w:t>
      </w:r>
      <w:r>
        <w:rPr>
          <w:rFonts w:hint="eastAsia" w:ascii="仿宋" w:hAnsi="仿宋" w:eastAsia="仿宋" w:cs="宋体"/>
          <w:kern w:val="0"/>
          <w:sz w:val="24"/>
        </w:rPr>
        <w:t>蔡老师 13825100764</w:t>
      </w:r>
      <w:r>
        <w:rPr>
          <w:rFonts w:hint="eastAsia" w:ascii="仿宋" w:hAnsi="仿宋" w:eastAsia="仿宋" w:cs="宋体"/>
          <w:color w:val="000000"/>
          <w:kern w:val="0"/>
          <w:sz w:val="24"/>
        </w:rPr>
        <w:t>）</w:t>
      </w:r>
    </w:p>
    <w:p>
      <w:pPr>
        <w:jc w:val="left"/>
        <w:rPr>
          <w:rFonts w:ascii="仿宋" w:hAnsi="仿宋" w:eastAsia="仿宋" w:cs="仿宋"/>
          <w:b/>
          <w:bCs/>
          <w:sz w:val="28"/>
          <w:szCs w:val="28"/>
        </w:rPr>
      </w:pPr>
      <w:r>
        <w:rPr>
          <w:rFonts w:hint="eastAsia" w:ascii="仿宋" w:hAnsi="仿宋" w:eastAsia="仿宋" w:cs="宋体"/>
          <w:b/>
          <w:bCs/>
          <w:kern w:val="0"/>
          <w:sz w:val="28"/>
          <w:szCs w:val="28"/>
        </w:rPr>
        <w:t>一、采购清单</w:t>
      </w:r>
    </w:p>
    <w:tbl>
      <w:tblPr>
        <w:tblStyle w:val="27"/>
        <w:tblW w:w="9069" w:type="dxa"/>
        <w:jc w:val="center"/>
        <w:tblInd w:w="-8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
      <w:tblGrid>
        <w:gridCol w:w="969"/>
        <w:gridCol w:w="1339"/>
        <w:gridCol w:w="6161"/>
        <w:gridCol w:w="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753" w:hRule="atLeast"/>
          <w:jc w:val="center"/>
        </w:trPr>
        <w:tc>
          <w:tcPr>
            <w:tcW w:w="969" w:type="dxa"/>
            <w:shd w:val="clear" w:color="auto" w:fill="FFFFFF"/>
            <w:vAlign w:val="center"/>
          </w:tcPr>
          <w:p>
            <w:pPr>
              <w:jc w:val="center"/>
              <w:rPr>
                <w:sz w:val="18"/>
                <w:szCs w:val="18"/>
              </w:rPr>
            </w:pPr>
            <w:r>
              <w:rPr>
                <w:rFonts w:hint="eastAsia"/>
                <w:sz w:val="18"/>
                <w:szCs w:val="18"/>
              </w:rPr>
              <w:t>序号</w:t>
            </w:r>
          </w:p>
        </w:tc>
        <w:tc>
          <w:tcPr>
            <w:tcW w:w="1339" w:type="dxa"/>
            <w:shd w:val="clear" w:color="auto" w:fill="FFFFFF"/>
            <w:vAlign w:val="center"/>
          </w:tcPr>
          <w:p>
            <w:pPr>
              <w:jc w:val="center"/>
              <w:rPr>
                <w:sz w:val="18"/>
                <w:szCs w:val="18"/>
              </w:rPr>
            </w:pPr>
            <w:r>
              <w:rPr>
                <w:rFonts w:hint="eastAsia"/>
                <w:sz w:val="18"/>
                <w:szCs w:val="18"/>
              </w:rPr>
              <w:t>项目名称</w:t>
            </w:r>
          </w:p>
        </w:tc>
        <w:tc>
          <w:tcPr>
            <w:tcW w:w="6161" w:type="dxa"/>
            <w:shd w:val="clear" w:color="auto" w:fill="FFFFFF"/>
            <w:vAlign w:val="center"/>
          </w:tcPr>
          <w:p>
            <w:pPr>
              <w:jc w:val="center"/>
              <w:rPr>
                <w:sz w:val="18"/>
                <w:szCs w:val="18"/>
              </w:rPr>
            </w:pPr>
            <w:r>
              <w:rPr>
                <w:rFonts w:hint="eastAsia"/>
                <w:sz w:val="18"/>
                <w:szCs w:val="18"/>
              </w:rPr>
              <w:t>技术参数</w:t>
            </w:r>
          </w:p>
        </w:tc>
        <w:tc>
          <w:tcPr>
            <w:tcW w:w="600" w:type="dxa"/>
            <w:shd w:val="clear" w:color="auto" w:fill="FFFFFF"/>
            <w:vAlign w:val="center"/>
          </w:tcPr>
          <w:p>
            <w:pPr>
              <w:jc w:val="center"/>
              <w:rPr>
                <w:sz w:val="18"/>
                <w:szCs w:val="18"/>
              </w:rPr>
            </w:pPr>
            <w:r>
              <w:rPr>
                <w:rFonts w:hint="eastAsia"/>
                <w:sz w:val="18"/>
                <w:szCs w:val="18"/>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1</w:t>
            </w:r>
          </w:p>
        </w:tc>
        <w:tc>
          <w:tcPr>
            <w:tcW w:w="1339" w:type="dxa"/>
            <w:shd w:val="clear" w:color="auto" w:fill="FFFFFF"/>
            <w:vAlign w:val="center"/>
          </w:tcPr>
          <w:p>
            <w:pPr>
              <w:jc w:val="center"/>
              <w:rPr>
                <w:rFonts w:ascii="Calibri" w:hAnsi="Calibri"/>
              </w:rPr>
            </w:pPr>
            <w:r>
              <w:rPr>
                <w:rFonts w:hint="eastAsia" w:ascii="宋体" w:hAnsi="宋体" w:cs="宋体"/>
                <w:szCs w:val="21"/>
              </w:rPr>
              <w:t>公司理财教学实训平台软件</w:t>
            </w:r>
          </w:p>
        </w:tc>
        <w:tc>
          <w:tcPr>
            <w:tcW w:w="6161" w:type="dxa"/>
            <w:shd w:val="clear" w:color="auto" w:fill="FFFFFF"/>
            <w:vAlign w:val="center"/>
          </w:tcPr>
          <w:p>
            <w:pPr>
              <w:pStyle w:val="15"/>
              <w:ind w:left="0" w:leftChars="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系统应适合金融、投资、理财、财经、会计、经管类专业进行《公司理财》教学实训使用，主要用于教师上课及学生课堂及课外实训时使用，作为相关课程配套的教学实训软件产品本软件系统适合金融、投资、理财、财经、经管类专业进行公司理财教学实训使用。</w:t>
            </w:r>
          </w:p>
          <w:p>
            <w:pPr>
              <w:pStyle w:val="15"/>
              <w:ind w:left="0" w:leftChars="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系统通过模拟一家公司一个完整会计年度理财过程，用户角色包含会计、财务总监、总经理、董事会、中介机构等；</w:t>
            </w:r>
          </w:p>
          <w:p>
            <w:pPr>
              <w:pStyle w:val="15"/>
              <w:ind w:left="0" w:leftChars="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系统主要用于教师上课及学生课堂及课外实训时使用，是与相关公司理财类教学课程配套的教学实训软件产品教师可通过本软件更好、更方便地组织教学内容、呈现课程知识点，摆脱传统板书或单纯教学课件教学方式，老师也可以自由的上传文档、图片、动画、视频等。学生通过使用本系统可以理论接合实操训练，在教中学，学中做，通过实际操作训练加深对理论知识的理解，同时增强学习兴趣，达到寓教于乐的目的；</w:t>
            </w:r>
          </w:p>
          <w:p>
            <w:pPr>
              <w:pStyle w:val="15"/>
              <w:ind w:left="0" w:leftChars="0"/>
              <w:rPr>
                <w:rFonts w:ascii="宋体" w:hAnsi="宋体" w:cs="宋体"/>
                <w:szCs w:val="21"/>
                <w:lang w:val="zh-CN"/>
              </w:rPr>
            </w:pPr>
            <w:r>
              <w:rPr>
                <w:rFonts w:hint="eastAsia" w:ascii="宋体" w:hAnsi="宋体" w:cs="宋体"/>
                <w:szCs w:val="21"/>
              </w:rPr>
              <w:t>4、软件功能模块包括两种模式自由切换“实训模式”、“练习模式”、“习题作业”、</w:t>
            </w:r>
            <w:r>
              <w:rPr>
                <w:rFonts w:hint="eastAsia" w:ascii="宋体" w:hAnsi="宋体" w:cs="宋体"/>
                <w:szCs w:val="21"/>
                <w:lang w:val="zh-CN"/>
              </w:rPr>
              <w:t>“签到管理”、“实训管理”、“考勤管理”、“在线考试”、“案例管理”、“班级管理”、“批改作业”、“课程管理”、“题库管理”、“布置作业”、“登录限制”、“公告管理”、“学生管理”、“角色管理”“信息查询”、“交流互动”、“课程考试”、“实训任务”等模块；</w:t>
            </w:r>
          </w:p>
          <w:p>
            <w:pPr>
              <w:pStyle w:val="14"/>
              <w:numPr>
                <w:ilvl w:val="0"/>
                <w:numId w:val="9"/>
              </w:numPr>
              <w:rPr>
                <w:rFonts w:ascii="宋体" w:hAnsi="宋体" w:cs="宋体"/>
                <w:szCs w:val="21"/>
                <w:lang w:val="zh-CN"/>
              </w:rPr>
            </w:pPr>
            <w:r>
              <w:rPr>
                <w:rFonts w:hint="eastAsia" w:ascii="宋体" w:hAnsi="宋体" w:cs="宋体"/>
                <w:szCs w:val="21"/>
              </w:rPr>
              <w:t>系统可实现</w:t>
            </w:r>
            <w:r>
              <w:rPr>
                <w:rFonts w:hint="eastAsia" w:ascii="宋体" w:hAnsi="宋体" w:cs="宋体"/>
                <w:szCs w:val="21"/>
                <w:lang w:val="zh-CN"/>
              </w:rPr>
              <w:t>多教师管控，对教师管理人数不设上限，教师独立管理对应的班级，同时后台管理还可以限制使用IP段，便于日常访问管理。</w:t>
            </w:r>
          </w:p>
          <w:p>
            <w:pPr>
              <w:pStyle w:val="14"/>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系统应自带教学案例，教师或系统管理员可按教学的需求自行修改任意案例题目的采分点及分值。对于学生的操作，系统应支持可以一键导出学生成绩和一键查看学生的每天的操作记录。</w:t>
            </w:r>
          </w:p>
          <w:p>
            <w:pPr>
              <w:pStyle w:val="14"/>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为达到最优的视觉效果，系统应支持可以自由的修改桌面图标的位置，更换桌面背景。</w:t>
            </w:r>
          </w:p>
          <w:p>
            <w:pPr>
              <w:pStyle w:val="15"/>
              <w:ind w:left="0" w:leftChars="0"/>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系统实训任务应包含了资产负债表、利润表、现金流量表、偿债能力分析、营运能力分析、盈利能力分析、发展能力分析、综合财务分析、成本分析模式现金管理、周转期模式现金管理、存货经济批量订购、存货分类管理、有价证券管理（交易性金融资产管理）、应收账款管理、短期筹资、长期贷款、公司债券可转换债、可分离债发行股票（IPO）、配股、增发、投资决策：包含股票投资、债券投资、基金投资、证券组合投资、项目投资方案选择、资本限量组合投资、股权投资、资本运作：包含并购、重组、股权激励、分配管理：包含现金股利、送股、转股、公积金；</w:t>
            </w:r>
          </w:p>
          <w:p>
            <w:pPr>
              <w:pStyle w:val="15"/>
              <w:ind w:left="0" w:leftChars="0"/>
              <w:rPr>
                <w:rFonts w:ascii="宋体" w:hAnsi="宋体" w:cs="宋体"/>
                <w:szCs w:val="21"/>
              </w:rPr>
            </w:pPr>
            <w:r>
              <w:rPr>
                <w:rFonts w:hint="eastAsia" w:ascii="宋体" w:hAnsi="宋体" w:cs="宋体"/>
                <w:szCs w:val="21"/>
              </w:rPr>
              <w:t>9、</w:t>
            </w:r>
            <w:r>
              <w:rPr>
                <w:rFonts w:hint="eastAsia" w:ascii="宋体" w:hAnsi="宋体" w:cs="宋体"/>
                <w:kern w:val="0"/>
                <w:szCs w:val="21"/>
                <w:lang w:val="zh-CN"/>
              </w:rPr>
              <w:t>系统对实训任务应提供有详细的案例说明、具体的任务描述、背景资料、操作区域、任务答案、任务解析等功能。系统为仿真真实的业务角色流转，应提供有人工模拟签章、业务暂存、保存、下一步操作提示、角色切换等功能。同时操作者可以体验多个角色的工作内容，系统自动记录学生的操作，并实时自动评分，并展现对错比照。</w:t>
            </w:r>
          </w:p>
          <w:p>
            <w:pPr>
              <w:pStyle w:val="57"/>
              <w:spacing w:line="240" w:lineRule="auto"/>
              <w:ind w:firstLine="0" w:firstLineChars="0"/>
              <w:rPr>
                <w:rFonts w:ascii="宋体" w:hAnsi="宋体"/>
                <w:kern w:val="0"/>
                <w:sz w:val="21"/>
                <w:szCs w:val="21"/>
                <w:lang w:val="zh-CN"/>
              </w:rPr>
            </w:pPr>
            <w:r>
              <w:rPr>
                <w:rFonts w:hint="eastAsia" w:ascii="宋体" w:hAnsi="宋体"/>
                <w:kern w:val="0"/>
                <w:sz w:val="21"/>
                <w:szCs w:val="21"/>
              </w:rPr>
              <w:t>10、系统为满足</w:t>
            </w:r>
            <w:r>
              <w:rPr>
                <w:rFonts w:hint="eastAsia" w:ascii="宋体" w:hAnsi="宋体"/>
                <w:kern w:val="0"/>
                <w:sz w:val="21"/>
                <w:szCs w:val="21"/>
                <w:lang w:val="zh-CN"/>
              </w:rPr>
              <w:t>无纸化和自学考试的要求，提供作业系统和案例系统及海量的习题。题目的设置可由教师一键生成或者自定义选题，教师可自由的修改或者上传考题。</w:t>
            </w:r>
          </w:p>
          <w:p>
            <w:pPr>
              <w:pStyle w:val="57"/>
              <w:spacing w:line="240" w:lineRule="auto"/>
              <w:ind w:firstLine="0" w:firstLineChars="0"/>
              <w:rPr>
                <w:rFonts w:ascii="宋体" w:hAnsi="宋体"/>
                <w:kern w:val="0"/>
                <w:sz w:val="21"/>
                <w:szCs w:val="21"/>
              </w:rPr>
            </w:pPr>
            <w:r>
              <w:rPr>
                <w:rFonts w:hint="eastAsia" w:ascii="宋体" w:hAnsi="宋体"/>
                <w:kern w:val="0"/>
                <w:sz w:val="21"/>
                <w:szCs w:val="21"/>
              </w:rPr>
              <w:t>11、系统提供的</w:t>
            </w:r>
            <w:r>
              <w:rPr>
                <w:rFonts w:hint="eastAsia" w:ascii="宋体" w:hAnsi="宋体"/>
                <w:kern w:val="0"/>
                <w:sz w:val="21"/>
                <w:szCs w:val="21"/>
                <w:lang w:val="zh-CN"/>
              </w:rPr>
              <w:t>考试系统不局限于某一专业或某一课程，系统开放的功能可以完全运用于其他专业，使用者只需后台按要求导入题目即可练习。</w:t>
            </w:r>
          </w:p>
          <w:p>
            <w:pPr>
              <w:rPr>
                <w:rFonts w:ascii="宋体" w:hAnsi="宋体" w:cs="宋体"/>
                <w:kern w:val="0"/>
                <w:szCs w:val="21"/>
              </w:rPr>
            </w:pPr>
            <w:r>
              <w:rPr>
                <w:rFonts w:hint="eastAsia" w:ascii="宋体" w:hAnsi="宋体" w:cs="宋体"/>
                <w:kern w:val="0"/>
                <w:szCs w:val="21"/>
              </w:rPr>
              <w:t>12、学生端可以查看教师上传的教学课件、案例资源、信息公告等，并查看考勤情况、习题作业、课程考试、实训操作的完成情况以及各项得分情况。</w:t>
            </w:r>
          </w:p>
          <w:p>
            <w:pPr>
              <w:numPr>
                <w:ilvl w:val="0"/>
                <w:numId w:val="10"/>
              </w:numPr>
              <w:jc w:val="center"/>
              <w:rPr>
                <w:rFonts w:ascii="宋体" w:hAnsi="宋体" w:cs="宋体"/>
                <w:kern w:val="0"/>
                <w:szCs w:val="21"/>
              </w:rPr>
            </w:pPr>
            <w:r>
              <w:rPr>
                <w:rFonts w:hint="eastAsia" w:ascii="宋体" w:hAnsi="宋体" w:cs="宋体"/>
                <w:kern w:val="0"/>
                <w:szCs w:val="21"/>
              </w:rPr>
              <w:t>系统采用B/S架构，直接安装在服务器上，无需安装客户端，方便管理，同时支持云平台部署。</w:t>
            </w:r>
          </w:p>
          <w:p>
            <w:pPr>
              <w:numPr>
                <w:ilvl w:val="0"/>
                <w:numId w:val="10"/>
              </w:numPr>
              <w:jc w:val="center"/>
              <w:rPr>
                <w:rFonts w:ascii="宋体" w:hAnsi="宋体" w:cs="宋体"/>
                <w:kern w:val="0"/>
                <w:szCs w:val="21"/>
              </w:rPr>
            </w:pPr>
            <w:r>
              <w:rPr>
                <w:rFonts w:hint="eastAsia"/>
                <w:szCs w:val="21"/>
              </w:rPr>
              <w:t>软件制造厂商应为软件认定企业，且为国家高新技术企业，通过ISO9001质量管理体系认证企业，提供在有效期内的证明文件，现场查验原件。</w:t>
            </w:r>
          </w:p>
          <w:p>
            <w:pPr>
              <w:numPr>
                <w:ilvl w:val="0"/>
                <w:numId w:val="10"/>
              </w:numPr>
              <w:jc w:val="center"/>
              <w:rPr>
                <w:rFonts w:ascii="宋体" w:hAnsi="宋体" w:cs="宋体"/>
                <w:kern w:val="0"/>
                <w:szCs w:val="21"/>
              </w:rPr>
            </w:pPr>
            <w:r>
              <w:rPr>
                <w:rFonts w:hint="eastAsia" w:ascii="宋体" w:hAnsi="宋体" w:cs="宋体"/>
                <w:szCs w:val="21"/>
              </w:rPr>
              <w:t>使用方有权利针对中标公司在供货之前要求演示核心功能，证明中标公司的软件是否满足要求，如有一项不满足，使用方有权利拒绝验收。</w:t>
            </w:r>
          </w:p>
        </w:tc>
        <w:tc>
          <w:tcPr>
            <w:tcW w:w="600" w:type="dxa"/>
            <w:shd w:val="clear" w:color="auto" w:fill="FFFFFF"/>
            <w:vAlign w:val="center"/>
          </w:tcPr>
          <w:p>
            <w:pPr>
              <w:jc w:val="center"/>
              <w:rPr>
                <w:rFonts w:ascii="Calibri" w:hAnsi="Calibri"/>
              </w:rPr>
            </w:pPr>
            <w:r>
              <w:rPr>
                <w:rFonts w:hint="eastAsia" w:ascii="Calibri" w:hAnsi="Calibri"/>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2</w:t>
            </w:r>
          </w:p>
        </w:tc>
        <w:tc>
          <w:tcPr>
            <w:tcW w:w="1339" w:type="dxa"/>
            <w:shd w:val="clear" w:color="auto" w:fill="FFFFFF"/>
            <w:vAlign w:val="center"/>
          </w:tcPr>
          <w:p>
            <w:pPr>
              <w:jc w:val="center"/>
              <w:rPr>
                <w:rFonts w:ascii="宋体" w:hAnsi="宋体" w:cs="宋体"/>
                <w:szCs w:val="21"/>
              </w:rPr>
            </w:pPr>
            <w:r>
              <w:rPr>
                <w:rFonts w:hint="eastAsia" w:ascii="宋体" w:hAnsi="宋体" w:cs="宋体"/>
                <w:szCs w:val="21"/>
              </w:rPr>
              <w:t>保险实务教学实训平台软件</w:t>
            </w:r>
          </w:p>
        </w:tc>
        <w:tc>
          <w:tcPr>
            <w:tcW w:w="6161" w:type="dxa"/>
            <w:shd w:val="clear" w:color="auto" w:fill="FFFFFF"/>
            <w:vAlign w:val="center"/>
          </w:tcPr>
          <w:p>
            <w:pPr>
              <w:pStyle w:val="14"/>
              <w:rPr>
                <w:rFonts w:ascii="宋体" w:hAnsi="宋体" w:cs="宋体"/>
                <w:szCs w:val="21"/>
              </w:rPr>
            </w:pPr>
            <w:r>
              <w:rPr>
                <w:rFonts w:hint="eastAsia" w:ascii="宋体" w:hAnsi="宋体" w:cs="宋体"/>
                <w:szCs w:val="21"/>
              </w:rPr>
              <w:t>1、 系统应采用模块化设计，提供前台业务系统及后台管理系统，包括</w:t>
            </w:r>
            <w:r>
              <w:rPr>
                <w:rFonts w:hint="eastAsia" w:ascii="宋体" w:hAnsi="宋体" w:cs="宋体"/>
                <w:szCs w:val="21"/>
                <w:lang w:val="zh-CN"/>
              </w:rPr>
              <w:t>“系统管理”、“考勤管理”、“知识管理”、“实训管理”、“成绩查询”、“保费计算”、“保险展业”、“经纪业务”、“承保业务”、“理赔业务”、“保全业务”、“实训任务”等</w:t>
            </w:r>
            <w:r>
              <w:rPr>
                <w:rFonts w:hint="eastAsia" w:ascii="宋体" w:hAnsi="宋体" w:cs="宋体"/>
                <w:szCs w:val="21"/>
              </w:rPr>
              <w:t>功能模块。前台业务系统主要是学生操作界面，用来完成实训任务，查询实训操作等。后台管理系统主要是系统管理人员用来管理学生实训操作、查询学生实训成绩、实训任务设置、保费产品设置等。</w:t>
            </w:r>
          </w:p>
          <w:p>
            <w:pPr>
              <w:pStyle w:val="15"/>
              <w:ind w:left="0" w:leftChars="0"/>
              <w:rPr>
                <w:rFonts w:ascii="宋体" w:hAnsi="宋体" w:cs="宋体"/>
                <w:szCs w:val="21"/>
              </w:rPr>
            </w:pPr>
            <w:r>
              <w:rPr>
                <w:rFonts w:hint="eastAsia" w:ascii="宋体" w:hAnsi="宋体" w:cs="宋体"/>
                <w:szCs w:val="21"/>
              </w:rPr>
              <w:t>2、系统涵盖保险业务的一整套流程：承保、核保、出单、缴费、保全变更、理赔、核赔、给付等各个环节的实验流程。学生通过饰演保险业务流程中的客户、代理人、经纪公司、人寿保险公司、财产保险公司五种角色，展业投保环节开始，至索赔理赔为止。</w:t>
            </w:r>
          </w:p>
          <w:p>
            <w:pPr>
              <w:pStyle w:val="15"/>
              <w:ind w:left="0" w:leftChars="0"/>
              <w:rPr>
                <w:rFonts w:ascii="宋体" w:hAnsi="宋体" w:cs="宋体"/>
                <w:szCs w:val="21"/>
              </w:rPr>
            </w:pPr>
            <w:r>
              <w:rPr>
                <w:rFonts w:hint="eastAsia" w:ascii="宋体" w:hAnsi="宋体" w:cs="宋体"/>
                <w:szCs w:val="21"/>
              </w:rPr>
              <w:t>3、系统中提供的单据完全仿真保险公司真实单据。能够让学生熟练掌握保险承保及理赔单证的填制，并能够实现打印输出，有效确保系统中保险承保单证及保险理赔单证的真实性、完整性。</w:t>
            </w:r>
          </w:p>
          <w:p>
            <w:pPr>
              <w:pStyle w:val="15"/>
              <w:ind w:left="0" w:leftChars="0"/>
              <w:rPr>
                <w:rFonts w:ascii="宋体" w:hAnsi="宋体" w:cs="宋体"/>
                <w:szCs w:val="21"/>
                <w:lang w:val="zh-CN"/>
              </w:rPr>
            </w:pPr>
            <w:r>
              <w:rPr>
                <w:rFonts w:hint="eastAsia" w:ascii="宋体" w:hAnsi="宋体" w:cs="宋体"/>
                <w:szCs w:val="21"/>
              </w:rPr>
              <w:t>4、系统模拟真实的保险业务情节设置案例库。当教师添加的各类“事故”发生时，学生可在不同的背景和不同的客户特征下分别扮演客户或保险公司进行交互式操作，按照提供的保险业务情节有针对性地进行理赔、拒赔操作。</w:t>
            </w:r>
          </w:p>
          <w:p>
            <w:pPr>
              <w:pStyle w:val="15"/>
              <w:ind w:left="0" w:leftChars="0"/>
              <w:rPr>
                <w:rFonts w:ascii="宋体" w:hAnsi="宋体" w:cs="宋体"/>
                <w:szCs w:val="21"/>
              </w:rPr>
            </w:pPr>
            <w:r>
              <w:rPr>
                <w:rFonts w:hint="eastAsia" w:ascii="宋体" w:hAnsi="宋体" w:cs="宋体"/>
                <w:szCs w:val="21"/>
              </w:rPr>
              <w:t>5、本系统采用实训任务的方式进行实训测评，学生通过完成系统设计的实训任务，达到熟练掌握保险实务基本业务技能的目的。实训任务涵盖了保险展业、保险经纪业务、承保业务、理赔业务、保全业务、保费计算等。完成每个实训任务后，系统可以实时测评，得出每个实训任务的实训成绩，方便了教师对本项实训课程的管理。实训结束后，教师可以通过后台管理导出学生实训成绩并保存为execl表格；</w:t>
            </w:r>
          </w:p>
          <w:p>
            <w:pPr>
              <w:pStyle w:val="15"/>
              <w:ind w:left="0" w:leftChars="0"/>
              <w:rPr>
                <w:rFonts w:ascii="宋体" w:hAnsi="宋体" w:cs="宋体"/>
                <w:szCs w:val="21"/>
              </w:rPr>
            </w:pPr>
            <w:r>
              <w:rPr>
                <w:rFonts w:hint="eastAsia" w:ascii="宋体" w:hAnsi="宋体" w:cs="宋体"/>
                <w:szCs w:val="21"/>
              </w:rPr>
              <w:t>6、本系统完全模拟仿真保险行业相关的公司业务操作，学生通过扮演不同公司及个人客户角色，完成不同角色需要操作的业务功能，达到身临其境的模拟实训效果。客户角色包含了投保人、被保险人、受益人、委托人及其它相关人等角色；保险公司角色包含了业务员、理赔内勤、录单员、录单复核员、出单员、出单复核员、勘察员、财务出纳、核赔员、接案人员、报案受理员、分保员等角色；分保公司角色包含了分保员角色；保险经纪公司角色包含了保险经纪人员角色；公估公司角色包含了接案人、公估人、勘察员、理赔员、业务员等角色；</w:t>
            </w:r>
          </w:p>
          <w:p>
            <w:pPr>
              <w:pStyle w:val="15"/>
              <w:ind w:left="0" w:leftChars="0"/>
              <w:rPr>
                <w:rFonts w:ascii="宋体" w:hAnsi="宋体" w:cs="宋体"/>
                <w:szCs w:val="21"/>
              </w:rPr>
            </w:pPr>
            <w:r>
              <w:rPr>
                <w:rFonts w:hint="eastAsia" w:ascii="宋体" w:hAnsi="宋体" w:cs="宋体"/>
                <w:szCs w:val="21"/>
              </w:rPr>
              <w:t>7、本系统共包含了基本的12个险种大类，其中人身保险主要分为人寿保险、健康保险、意外保险、团体人身保险等，财产保险主要分为企业财产保险、家庭财产保险、机动车辆保险、货运保险、工程保险、责任保险、保证保险、信用保险等，不同的保险产品对应不同的业务操作流程及业务操作规范；</w:t>
            </w:r>
          </w:p>
          <w:p>
            <w:pPr>
              <w:pStyle w:val="15"/>
              <w:ind w:left="0" w:leftChars="0"/>
              <w:rPr>
                <w:rFonts w:ascii="宋体" w:hAnsi="宋体" w:cs="宋体"/>
                <w:szCs w:val="21"/>
              </w:rPr>
            </w:pPr>
            <w:r>
              <w:rPr>
                <w:rFonts w:hint="eastAsia" w:ascii="宋体" w:hAnsi="宋体" w:cs="宋体"/>
                <w:szCs w:val="21"/>
              </w:rPr>
              <w:t>8、保费计算功能：本系统后台管理可以设置保险产品，系统通过定义保险产品的费率及保险条款，可以将市场上主流保险产品动态添加到系统中，学生通过前台“保费计算”功能模块进行人身保险、财产保险费率、机动车辆险、货运保险、保证保险、信用保险、责任保险、工程保险及船舶保险等费率计算；</w:t>
            </w:r>
          </w:p>
          <w:p>
            <w:pPr>
              <w:pStyle w:val="15"/>
              <w:ind w:left="0" w:leftChars="0"/>
              <w:rPr>
                <w:rFonts w:ascii="宋体" w:hAnsi="宋体" w:cs="宋体"/>
                <w:szCs w:val="21"/>
              </w:rPr>
            </w:pPr>
            <w:r>
              <w:rPr>
                <w:rFonts w:hint="eastAsia" w:ascii="宋体" w:hAnsi="宋体" w:cs="宋体"/>
                <w:szCs w:val="21"/>
              </w:rPr>
              <w:t>9、系统能提供国内保险公司全部险种真实条款，包括主险和附加险条款，具有完整的费率表和各种类型的投保单模板、批单模板、索赔单证模板</w:t>
            </w:r>
          </w:p>
          <w:p>
            <w:pPr>
              <w:pStyle w:val="15"/>
              <w:ind w:left="0" w:leftChars="0"/>
              <w:rPr>
                <w:rFonts w:ascii="宋体" w:hAnsi="宋体" w:cs="宋体"/>
                <w:szCs w:val="21"/>
              </w:rPr>
            </w:pPr>
            <w:r>
              <w:rPr>
                <w:rFonts w:hint="eastAsia" w:ascii="宋体" w:hAnsi="宋体" w:cs="宋体"/>
                <w:szCs w:val="21"/>
              </w:rPr>
              <w:t>10、本系统共包含了40余个实训任务，涵盖了保险展业、保险经纪业务、承保业务、理赔业务、保险业务、保费计算6大功能模块基本技能训练，适合从事保险职业进行职业训练。</w:t>
            </w:r>
          </w:p>
          <w:p>
            <w:pPr>
              <w:pStyle w:val="14"/>
              <w:rPr>
                <w:rFonts w:ascii="宋体" w:hAnsi="宋体" w:cs="宋体"/>
                <w:szCs w:val="21"/>
              </w:rPr>
            </w:pPr>
            <w:r>
              <w:rPr>
                <w:rFonts w:hint="eastAsia" w:ascii="宋体" w:hAnsi="宋体" w:cs="宋体"/>
                <w:szCs w:val="21"/>
              </w:rPr>
              <w:t>11、系统6大功能模块分别包括了下列具体实训任务：保险展业：包含了人身保险规划、家庭保险规划方案等实训任务；保险经纪业务：包含了人身保险经纪业务、机构保险经纪业务等实训任务；承保业务：包含了人寿保险承保业务、健康保险承保业务、意外保险承保业务、团体人身保险承保业务、企业财产保险承保业务、家庭财产保险承保业务、机动车辆保险承保业务、货运保险承保业务、工程保险承保业务、责任保险承保业务、保证保险承保业务、信用保险承保业务等实训任务；理赔业务：包含了人寿保险理赔业务、健康保险理赔业务、意外保险理赔业务、团体人身保险理赔业务、企业财产保险理赔业务、家庭财产保险理赔业务、机动车辆保险理赔业务、货运保险理赔业务、工程保险理赔业务、责任保险理赔业务、保证保险理赔业务、信用保险理赔业务、委付理赔业务、分保理赔业务、公估理赔业务、代位追偿理赔业务等实训任务；保全业务：包含了新增险加险保全业务、保单丢失保全业务、受益人变更保全业务、个人信息变更保全业务、团体保险变更保全业务等实训任务；保费计算：包含了人身保险保费计算、财产保险保费计算等实训任务。</w:t>
            </w:r>
          </w:p>
          <w:p>
            <w:pPr>
              <w:numPr>
                <w:ilvl w:val="0"/>
                <w:numId w:val="11"/>
              </w:numPr>
              <w:rPr>
                <w:rFonts w:ascii="宋体" w:hAnsi="宋体" w:cs="宋体"/>
                <w:szCs w:val="21"/>
              </w:rPr>
            </w:pPr>
            <w:r>
              <w:rPr>
                <w:rFonts w:hint="eastAsia" w:ascii="宋体" w:hAnsi="宋体" w:cs="宋体"/>
                <w:szCs w:val="21"/>
              </w:rPr>
              <w:t>系统采用B/S架构，不限制用户数量。</w:t>
            </w:r>
          </w:p>
          <w:p>
            <w:pPr>
              <w:numPr>
                <w:ilvl w:val="0"/>
                <w:numId w:val="11"/>
              </w:numPr>
              <w:rPr>
                <w:rFonts w:ascii="宋体" w:hAnsi="宋体" w:cs="宋体"/>
                <w:szCs w:val="21"/>
              </w:rPr>
            </w:pPr>
            <w:r>
              <w:rPr>
                <w:rFonts w:hint="eastAsia"/>
                <w:szCs w:val="21"/>
              </w:rPr>
              <w:t>软件制造厂商应为软件认定企业，且为国家高新技术企业，通过ISO9001质量管理体系认证企业，提供在有效期内的证明文件，现场查验原件。</w:t>
            </w:r>
          </w:p>
          <w:p>
            <w:pPr>
              <w:numPr>
                <w:ilvl w:val="0"/>
                <w:numId w:val="11"/>
              </w:numPr>
              <w:rPr>
                <w:rFonts w:ascii="宋体" w:hAnsi="宋体" w:cs="宋体"/>
                <w:szCs w:val="21"/>
              </w:rPr>
            </w:pPr>
            <w:r>
              <w:rPr>
                <w:rFonts w:hint="eastAsia" w:ascii="宋体" w:hAnsi="宋体" w:cs="宋体"/>
                <w:szCs w:val="21"/>
              </w:rPr>
              <w:t>使用方有权利针对中标公司在供货之前要求演示核心功能，证明中标公司的软件是否满足要求，如有一项不满足，使用方有权利拒绝验收。</w:t>
            </w:r>
          </w:p>
        </w:tc>
        <w:tc>
          <w:tcPr>
            <w:tcW w:w="600" w:type="dxa"/>
            <w:shd w:val="clear" w:color="auto" w:fill="FFFFFF"/>
            <w:vAlign w:val="center"/>
          </w:tcPr>
          <w:p>
            <w:pPr>
              <w:jc w:val="center"/>
              <w:rPr>
                <w:rFonts w:ascii="Calibri" w:hAnsi="Calibri"/>
              </w:rPr>
            </w:pPr>
            <w:r>
              <w:rPr>
                <w:rFonts w:hint="eastAsia" w:ascii="Calibri" w:hAnsi="Calibri"/>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3</w:t>
            </w:r>
          </w:p>
        </w:tc>
        <w:tc>
          <w:tcPr>
            <w:tcW w:w="1339" w:type="dxa"/>
            <w:shd w:val="clear" w:color="auto" w:fill="FFFFFF"/>
            <w:vAlign w:val="center"/>
          </w:tcPr>
          <w:p>
            <w:pPr>
              <w:jc w:val="center"/>
              <w:rPr>
                <w:rFonts w:ascii="宋体" w:hAnsi="宋体" w:cs="宋体"/>
                <w:szCs w:val="21"/>
              </w:rPr>
            </w:pPr>
            <w:r>
              <w:rPr>
                <w:rFonts w:hint="eastAsia"/>
              </w:rPr>
              <w:t>网上银行系统V1.0</w:t>
            </w:r>
          </w:p>
        </w:tc>
        <w:tc>
          <w:tcPr>
            <w:tcW w:w="6161" w:type="dxa"/>
            <w:shd w:val="clear" w:color="auto" w:fill="FFFFFF"/>
            <w:vAlign w:val="center"/>
          </w:tcPr>
          <w:p>
            <w:pPr>
              <w:pStyle w:val="15"/>
              <w:ind w:left="0" w:leftChars="0"/>
              <w:rPr>
                <w:rFonts w:ascii="宋体" w:hAnsi="宋体" w:cs="宋体"/>
                <w:bCs/>
                <w:szCs w:val="21"/>
              </w:rPr>
            </w:pPr>
            <w:r>
              <w:rPr>
                <w:rFonts w:hint="eastAsia" w:ascii="宋体" w:hAnsi="宋体" w:cs="宋体"/>
                <w:bCs/>
                <w:szCs w:val="21"/>
              </w:rPr>
              <w:t>1、个人网银系统：</w:t>
            </w:r>
          </w:p>
          <w:p>
            <w:pPr>
              <w:pStyle w:val="15"/>
              <w:ind w:left="0" w:leftChars="0" w:firstLine="420" w:firstLineChars="200"/>
              <w:rPr>
                <w:rFonts w:ascii="宋体" w:hAnsi="宋体" w:cs="宋体"/>
                <w:bCs/>
                <w:szCs w:val="21"/>
              </w:rPr>
            </w:pPr>
            <w:r>
              <w:rPr>
                <w:rFonts w:hint="eastAsia" w:ascii="宋体" w:hAnsi="宋体" w:cs="宋体"/>
                <w:bCs/>
                <w:szCs w:val="21"/>
              </w:rPr>
              <w:t>（1）个人网银系统应完全仿真现代商业银行个人网上银行的大部份功能，可以实现帐户管理功能，如帐户查询、当天交易查询、历史交易查询、密码管理、挂失；自助转帐功能，一卡通、信用卡等转账、转帐交易查询等；自助缴费功能；网上支付功能，支付交易查询、支付额度管理、支付交易查询等。</w:t>
            </w:r>
          </w:p>
          <w:p>
            <w:pPr>
              <w:pStyle w:val="15"/>
              <w:ind w:left="0" w:leftChars="0" w:firstLine="420" w:firstLineChars="200"/>
              <w:rPr>
                <w:rFonts w:ascii="宋体" w:hAnsi="宋体" w:cs="宋体"/>
                <w:bCs/>
                <w:szCs w:val="21"/>
              </w:rPr>
            </w:pPr>
            <w:r>
              <w:rPr>
                <w:rFonts w:hint="eastAsia" w:ascii="宋体" w:hAnsi="宋体" w:cs="宋体"/>
                <w:bCs/>
                <w:szCs w:val="21"/>
              </w:rPr>
              <w:t>（2）学生在日志查询模块，可查询到某个案例的操作时间、操作内容和操作详情，方便学生查询操作信息，实行自评自测。</w:t>
            </w:r>
          </w:p>
          <w:p>
            <w:pPr>
              <w:pStyle w:val="15"/>
              <w:ind w:left="0" w:leftChars="0"/>
              <w:rPr>
                <w:rFonts w:ascii="宋体" w:hAnsi="宋体" w:cs="宋体"/>
                <w:bCs/>
                <w:szCs w:val="21"/>
              </w:rPr>
            </w:pPr>
            <w:r>
              <w:rPr>
                <w:rFonts w:hint="eastAsia" w:ascii="宋体" w:hAnsi="宋体" w:cs="宋体"/>
                <w:bCs/>
                <w:szCs w:val="21"/>
              </w:rPr>
              <w:t>2、企业网银系统：</w:t>
            </w:r>
          </w:p>
          <w:p>
            <w:pPr>
              <w:pStyle w:val="15"/>
              <w:ind w:left="0" w:leftChars="0" w:firstLine="420" w:firstLineChars="200"/>
              <w:rPr>
                <w:rFonts w:ascii="宋体" w:hAnsi="宋体" w:cs="宋体"/>
                <w:bCs/>
                <w:szCs w:val="21"/>
              </w:rPr>
            </w:pPr>
            <w:r>
              <w:rPr>
                <w:rFonts w:hint="eastAsia" w:ascii="宋体" w:hAnsi="宋体" w:cs="宋体"/>
                <w:bCs/>
                <w:szCs w:val="21"/>
              </w:rPr>
              <w:t>（1）系统应完全仿真商业银行企业网银行系统的全部业务功能及业务流程，实现将银行服务直接送到企业用户办公室和家中，改变了银行传统的服务方式，是银行业务系统的扩充和延伸。系统应仿真 “企业银行”业务的全过程，业务包括：账务信息查询、收方限制、内部转账、支付结算、发放工资、其它代发、工资（员工、部门、职务）的数据维护等功能。</w:t>
            </w:r>
          </w:p>
          <w:p>
            <w:pPr>
              <w:pStyle w:val="15"/>
              <w:ind w:left="0" w:leftChars="0" w:firstLine="420" w:firstLineChars="200"/>
              <w:rPr>
                <w:rFonts w:ascii="宋体" w:hAnsi="宋体" w:cs="宋体"/>
                <w:bCs/>
                <w:szCs w:val="21"/>
              </w:rPr>
            </w:pPr>
            <w:r>
              <w:rPr>
                <w:rFonts w:hint="eastAsia" w:ascii="宋体" w:hAnsi="宋体" w:cs="宋体"/>
                <w:bCs/>
                <w:szCs w:val="21"/>
              </w:rPr>
              <w:t>（2）企业网银业务含有财务、经办岗和审批岗等多个角色，学生可以通过做任务自行切换体验任务角色，也可通过教师分组让每个学生担任不同角色，增加课堂的趣味性和互动性。</w:t>
            </w:r>
          </w:p>
          <w:p>
            <w:pPr>
              <w:pStyle w:val="15"/>
              <w:ind w:left="0" w:leftChars="0"/>
              <w:rPr>
                <w:rFonts w:ascii="宋体" w:hAnsi="宋体" w:cs="宋体"/>
                <w:bCs/>
                <w:szCs w:val="21"/>
              </w:rPr>
            </w:pPr>
            <w:r>
              <w:rPr>
                <w:rFonts w:hint="eastAsia" w:ascii="宋体" w:hAnsi="宋体" w:cs="宋体"/>
                <w:bCs/>
                <w:szCs w:val="21"/>
              </w:rPr>
              <w:t>3、信用卡系统：</w:t>
            </w:r>
          </w:p>
          <w:p>
            <w:pPr>
              <w:pStyle w:val="15"/>
              <w:ind w:left="0" w:leftChars="0" w:firstLine="420" w:firstLineChars="200"/>
              <w:rPr>
                <w:rFonts w:ascii="宋体" w:hAnsi="宋体" w:cs="宋体"/>
                <w:bCs/>
                <w:szCs w:val="21"/>
              </w:rPr>
            </w:pPr>
            <w:r>
              <w:rPr>
                <w:rFonts w:hint="eastAsia" w:ascii="宋体" w:hAnsi="宋体" w:cs="宋体"/>
                <w:bCs/>
                <w:szCs w:val="21"/>
              </w:rPr>
              <w:t>（1）系统应完全仿真现代商业银行信用卡系统，可以实现信用卡管理功能，如信用卡开户、信用卡存现、信用卡取现等。信用卡查询功能，如信用卡明细查询、信用卡交易查询等。帐户管理模块包括：帐户查询、已出帐单查询、未出帐单查询、自助对帐、密码管理等。还款管理模块包括：如协议方式缴款、自动还款设置、自动购汇设置、还款方式查询等。网上支付模块：支付功能申请、支付交易查询、支付额度设置等。卡片管理功能，如卡片额度调整、信用卡开卡等。积分管理功能，如积分查询、积分历史查询等。</w:t>
            </w:r>
          </w:p>
          <w:p>
            <w:pPr>
              <w:pStyle w:val="15"/>
              <w:ind w:left="0" w:leftChars="0" w:firstLine="420" w:firstLineChars="200"/>
              <w:rPr>
                <w:rFonts w:ascii="宋体" w:hAnsi="宋体" w:cs="宋体"/>
                <w:bCs/>
                <w:szCs w:val="21"/>
              </w:rPr>
            </w:pPr>
            <w:r>
              <w:rPr>
                <w:rFonts w:hint="eastAsia" w:ascii="宋体" w:hAnsi="宋体" w:cs="宋体"/>
                <w:bCs/>
                <w:szCs w:val="21"/>
              </w:rPr>
              <w:t>（2）信用卡系统可仿真现代商业银行的业务情况，查询信用卡的申请进度，且能根据证件信息找回信用卡卡号，方便学生管理信用卡。</w:t>
            </w:r>
          </w:p>
          <w:p>
            <w:pPr>
              <w:rPr>
                <w:rFonts w:ascii="宋体" w:hAnsi="宋体" w:cs="宋体"/>
                <w:bCs/>
                <w:szCs w:val="21"/>
              </w:rPr>
            </w:pPr>
            <w:r>
              <w:rPr>
                <w:rFonts w:hint="eastAsia" w:ascii="宋体" w:hAnsi="宋体" w:cs="宋体"/>
                <w:bCs/>
                <w:szCs w:val="21"/>
              </w:rPr>
              <w:t>4、系统应提供一套智能评分系统，学生每操作完一个教学任务，系统会自动批改教学任务并得出成绩，方便学生即时观察自身的学习进度。</w:t>
            </w:r>
          </w:p>
          <w:p>
            <w:pPr>
              <w:pStyle w:val="15"/>
              <w:ind w:left="0" w:leftChars="0"/>
              <w:rPr>
                <w:rFonts w:ascii="宋体" w:hAnsi="宋体" w:cs="宋体"/>
                <w:bCs/>
                <w:szCs w:val="21"/>
              </w:rPr>
            </w:pPr>
            <w:r>
              <w:rPr>
                <w:rFonts w:hint="eastAsia" w:ascii="宋体" w:hAnsi="宋体" w:cs="宋体"/>
                <w:bCs/>
                <w:szCs w:val="21"/>
              </w:rPr>
              <w:t>5、企业网银系统和个人网银系统应含有两种登入方式，即企业网银系统的数字证书用户和一般用户登入方式和个人网银的文件数字证书和移动数字证书的登入方式，让学生体验到现代商业网上银行多种方式的登入情况，了解网银不同登入方式的意义。</w:t>
            </w:r>
          </w:p>
          <w:p>
            <w:pPr>
              <w:pStyle w:val="15"/>
              <w:ind w:left="0" w:leftChars="0"/>
              <w:rPr>
                <w:rFonts w:ascii="宋体" w:hAnsi="宋体" w:cs="宋体"/>
                <w:bCs/>
                <w:szCs w:val="21"/>
              </w:rPr>
            </w:pPr>
            <w:r>
              <w:rPr>
                <w:rFonts w:hint="eastAsia" w:ascii="宋体" w:hAnsi="宋体" w:cs="宋体"/>
                <w:bCs/>
                <w:szCs w:val="21"/>
              </w:rPr>
              <w:t>6.网上商城系统：至少包含14件模拟交易商品，让学生真实体验到网上商城的交易过程。</w:t>
            </w:r>
          </w:p>
          <w:p>
            <w:pPr>
              <w:pStyle w:val="15"/>
              <w:ind w:left="0" w:leftChars="0"/>
              <w:rPr>
                <w:rFonts w:ascii="宋体" w:hAnsi="宋体" w:cs="宋体"/>
                <w:bCs/>
                <w:szCs w:val="21"/>
              </w:rPr>
            </w:pPr>
            <w:r>
              <w:rPr>
                <w:rFonts w:hint="eastAsia" w:ascii="宋体" w:hAnsi="宋体" w:cs="宋体"/>
                <w:bCs/>
                <w:szCs w:val="21"/>
              </w:rPr>
              <w:t>7、教师端：可查询整个班级学生的成绩、查询学生的案例明细得分情况，方便教师多方位评测学生，找出学生的薄弱点和失分处。</w:t>
            </w:r>
          </w:p>
          <w:p>
            <w:pPr>
              <w:numPr>
                <w:ilvl w:val="0"/>
                <w:numId w:val="12"/>
              </w:numPr>
              <w:jc w:val="center"/>
              <w:rPr>
                <w:szCs w:val="21"/>
              </w:rPr>
            </w:pPr>
            <w:r>
              <w:rPr>
                <w:rFonts w:hint="eastAsia"/>
                <w:szCs w:val="21"/>
              </w:rPr>
              <w:t>软件制造厂商应为软件认定企业，且为国家高新技术企业，通过ISO9001质量管理体系认证企业，提供</w:t>
            </w:r>
          </w:p>
          <w:p>
            <w:pPr>
              <w:rPr>
                <w:szCs w:val="21"/>
              </w:rPr>
            </w:pPr>
            <w:r>
              <w:rPr>
                <w:rFonts w:hint="eastAsia"/>
                <w:szCs w:val="21"/>
              </w:rPr>
              <w:t>在有效期内的证明文件，现场查验原件。</w:t>
            </w:r>
          </w:p>
          <w:p>
            <w:pPr>
              <w:rPr>
                <w:szCs w:val="21"/>
              </w:rPr>
            </w:pPr>
            <w:r>
              <w:rPr>
                <w:rFonts w:hint="eastAsia" w:ascii="宋体" w:hAnsi="宋体" w:cs="宋体"/>
                <w:szCs w:val="21"/>
              </w:rPr>
              <w:t>9、使用方有权利针对中标公司在供货之前要求演示核心功能，证明中标公司的软件是否满足要求，如有一项不满足，使用方有权利拒绝验收。</w:t>
            </w:r>
          </w:p>
        </w:tc>
        <w:tc>
          <w:tcPr>
            <w:tcW w:w="600" w:type="dxa"/>
            <w:shd w:val="clear" w:color="auto" w:fill="FFFFFF"/>
            <w:vAlign w:val="center"/>
          </w:tcPr>
          <w:p>
            <w:pPr>
              <w:jc w:val="center"/>
              <w:rPr>
                <w:rFonts w:ascii="Calibri" w:hAnsi="Calibri"/>
              </w:rPr>
            </w:pPr>
            <w:r>
              <w:rPr>
                <w:rFonts w:hint="eastAsia" w:ascii="Calibri" w:hAnsi="Calibri"/>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4</w:t>
            </w:r>
          </w:p>
        </w:tc>
        <w:tc>
          <w:tcPr>
            <w:tcW w:w="1339" w:type="dxa"/>
            <w:shd w:val="clear" w:color="auto" w:fill="FFFFFF"/>
            <w:vAlign w:val="center"/>
          </w:tcPr>
          <w:p>
            <w:pPr>
              <w:jc w:val="center"/>
            </w:pPr>
            <w:r>
              <w:rPr>
                <w:rFonts w:hint="eastAsia"/>
              </w:rPr>
              <w:t>银行票据业务教学实训平台软件</w:t>
            </w:r>
          </w:p>
        </w:tc>
        <w:tc>
          <w:tcPr>
            <w:tcW w:w="6161" w:type="dxa"/>
            <w:shd w:val="clear" w:color="auto" w:fill="FFFFFF"/>
            <w:vAlign w:val="center"/>
          </w:tcPr>
          <w:p>
            <w:pPr>
              <w:pStyle w:val="15"/>
              <w:ind w:left="0" w:leftChars="0"/>
              <w:rPr>
                <w:szCs w:val="22"/>
              </w:rPr>
            </w:pPr>
            <w:r>
              <w:rPr>
                <w:rFonts w:hint="eastAsia"/>
                <w:szCs w:val="22"/>
              </w:rPr>
              <w:t>1、本系统是完全按最新的银行票据业务规范和流程设计开发，学生通过实训操作，可以完全掌握和运用票据业务的职业技能。</w:t>
            </w:r>
          </w:p>
          <w:p>
            <w:pPr>
              <w:pStyle w:val="15"/>
              <w:ind w:left="0" w:leftChars="0"/>
              <w:rPr>
                <w:szCs w:val="22"/>
              </w:rPr>
            </w:pPr>
            <w:r>
              <w:rPr>
                <w:rFonts w:hint="eastAsia"/>
              </w:rPr>
              <w:t>2、系统应具有支票、本票、银行汇票、银行承兑汇票、商业承兑汇票、电子银行承兑汇票等票样展示。</w:t>
            </w:r>
          </w:p>
          <w:p>
            <w:pPr>
              <w:pStyle w:val="15"/>
              <w:ind w:left="0" w:leftChars="0"/>
            </w:pPr>
            <w:r>
              <w:rPr>
                <w:rFonts w:hint="eastAsia"/>
              </w:rPr>
              <w:t>3、系统要求具有支票、本票、银行汇票、银行承兑汇票、商业承兑汇票等票据全业务流程仿真操作功能，可完成票据出票申请、出票、承兑、背书、付款、追索、退票、贴现、转贴现、再贴现、回购等业务操作；学习银行票据业务操作规范、业务流程、应用实务等</w:t>
            </w:r>
          </w:p>
          <w:p>
            <w:pPr>
              <w:pStyle w:val="15"/>
              <w:ind w:left="0" w:leftChars="0"/>
            </w:pPr>
            <w:r>
              <w:rPr>
                <w:rFonts w:hint="eastAsia"/>
              </w:rPr>
              <w:t>4、系统的用户应可充当申请人、出票人、收款人、付款人、承兑人、背书人、被背书人角色，不同业务角色完成不同的票据业务操作；</w:t>
            </w:r>
          </w:p>
          <w:p>
            <w:pPr>
              <w:pStyle w:val="15"/>
              <w:ind w:left="0" w:leftChars="0"/>
            </w:pPr>
            <w:r>
              <w:rPr>
                <w:rFonts w:hint="eastAsia"/>
              </w:rPr>
              <w:t>5、系统应支持按任务要求进行票据业务实训，配备操作视频、任务帮助、操作流程图；</w:t>
            </w:r>
          </w:p>
          <w:p>
            <w:pPr>
              <w:pStyle w:val="15"/>
              <w:ind w:left="0" w:leftChars="0"/>
            </w:pPr>
            <w:r>
              <w:rPr>
                <w:rFonts w:hint="eastAsia"/>
              </w:rPr>
              <w:t>6、系统应包含至少50余个实训任务，教师可以根据实训要求安排实训任务，可以控制每个实训任务启动时间。实训任务完成后，系统会自动评分并有错误查询功能。</w:t>
            </w:r>
          </w:p>
          <w:p>
            <w:pPr>
              <w:pStyle w:val="15"/>
              <w:ind w:left="0" w:leftChars="0"/>
            </w:pPr>
            <w:r>
              <w:rPr>
                <w:rFonts w:hint="eastAsia"/>
              </w:rPr>
              <w:t>7、所有实训任务应采用真实案例，结合教学需求完成相关任务；每个案例中可灵活调整账务日期，来满足不同案例的需求。具体实训任务包含：普通支票、现金支票、转账支票、本票、银行汇票、银行承兑汇票、商业承兑汇票。</w:t>
            </w:r>
          </w:p>
          <w:p>
            <w:pPr>
              <w:pStyle w:val="15"/>
              <w:ind w:left="0" w:leftChars="0" w:firstLine="210" w:firstLineChars="100"/>
            </w:pPr>
            <w:r>
              <w:rPr>
                <w:rFonts w:hint="eastAsia"/>
              </w:rPr>
              <w:t>（1）普通支票包含任务分别为：普通空头支票退票、普通支票挂失、普通支票支付密码原因退票、普通支票印鉴不符退票、普通支票提取备用金、普通支票背书付款；</w:t>
            </w:r>
          </w:p>
          <w:p>
            <w:pPr>
              <w:pStyle w:val="15"/>
              <w:ind w:left="0" w:leftChars="0" w:firstLine="210" w:firstLineChars="100"/>
            </w:pPr>
            <w:r>
              <w:rPr>
                <w:rFonts w:hint="eastAsia"/>
              </w:rPr>
              <w:t>（2）现金支票包含任务分别为：现金支票提取备用金、现金支票退票、现金支票挂失；</w:t>
            </w:r>
          </w:p>
          <w:p>
            <w:pPr>
              <w:pStyle w:val="15"/>
              <w:ind w:left="0" w:leftChars="0" w:firstLine="210" w:firstLineChars="100"/>
            </w:pPr>
            <w:r>
              <w:rPr>
                <w:rFonts w:hint="eastAsia"/>
              </w:rPr>
              <w:t>（3）转账支票包含任务分别为：背书转账支票支付广告费、转账支票第二次背书转让、转账支票第三次背书转让、转账支票支付密码错误退票、转账支票印鉴不符退票、转账支票挂失、转账支票背书后挂失；</w:t>
            </w:r>
          </w:p>
          <w:p>
            <w:pPr>
              <w:pStyle w:val="15"/>
              <w:ind w:left="0" w:leftChars="0" w:firstLine="210" w:firstLineChars="100"/>
            </w:pPr>
            <w:r>
              <w:rPr>
                <w:rFonts w:hint="eastAsia"/>
              </w:rPr>
              <w:t>（4）本票包含任务：银行本票退票、转帐银行本票支付货款、银行本票背书兑付、银行本票连续背书转让并兑付、银行本票挂失；</w:t>
            </w:r>
          </w:p>
          <w:p>
            <w:pPr>
              <w:pStyle w:val="15"/>
              <w:ind w:left="0" w:leftChars="0" w:firstLine="210" w:firstLineChars="100"/>
            </w:pPr>
            <w:r>
              <w:rPr>
                <w:rFonts w:hint="eastAsia"/>
              </w:rPr>
              <w:t>（5）银行汇票包含任务：银行汇票超出付款期限退票、银行汇票结算货款、银行汇票背书转让、银行汇票退票、银行汇票挂失；</w:t>
            </w:r>
          </w:p>
          <w:p>
            <w:pPr>
              <w:pStyle w:val="15"/>
              <w:ind w:left="0" w:leftChars="0" w:firstLine="210" w:firstLineChars="100"/>
            </w:pPr>
            <w:r>
              <w:rPr>
                <w:rFonts w:hint="eastAsia"/>
              </w:rPr>
              <w:t>（6）银行承兑汇票包含任务分别为：银行汇票支付货款、银行承兑汇票背书转让支付货款、银行汇票连续背书转让并兑付、银行汇票协商退票、银行汇票贴现、银行汇票再贴现、银行承兑汇票转贴现、银行承兑汇票赎回式贴现、银行承兑汇票赎回式再贴现、银行汇票背书赎回式转贴现、银行汇票背书转贴现后再贴现、银行汇票挂失；</w:t>
            </w:r>
          </w:p>
          <w:p>
            <w:pPr>
              <w:pStyle w:val="15"/>
              <w:ind w:left="0" w:leftChars="0" w:firstLine="210" w:firstLineChars="100"/>
            </w:pPr>
            <w:r>
              <w:rPr>
                <w:rFonts w:hint="eastAsia"/>
              </w:rPr>
              <w:t>（7）商业承兑汇票包含任务分别为：商承汇票结算货款、商承汇票背书转让结算货款、商承汇票连续背书转让、商业承兑汇票贴现、商承汇票连续背书后转贴现、商承汇票赎回式贴现、商承汇票背书后赎回式转贴现、商承汇票连续背书后赎回式转贴现、商承汇票过期退票、商承汇票挂失、商承汇票到期兑付货款。</w:t>
            </w:r>
          </w:p>
          <w:p>
            <w:pPr>
              <w:pStyle w:val="15"/>
              <w:ind w:left="0" w:leftChars="0"/>
            </w:pPr>
            <w:r>
              <w:rPr>
                <w:rFonts w:hint="eastAsia"/>
              </w:rPr>
              <w:t>8、系统应具有票据审核鉴别仿真实训功能，要求完全按照真实银行票据来填写并审核。</w:t>
            </w:r>
          </w:p>
          <w:p>
            <w:pPr>
              <w:pStyle w:val="15"/>
              <w:ind w:left="0" w:leftChars="0"/>
            </w:pPr>
            <w:r>
              <w:rPr>
                <w:rFonts w:hint="eastAsia"/>
              </w:rPr>
              <w:t>9、系统应具有票据规范填写及个人签章、企业签章等实训功能；</w:t>
            </w:r>
          </w:p>
          <w:p>
            <w:pPr>
              <w:pStyle w:val="15"/>
              <w:ind w:left="0" w:leftChars="0"/>
            </w:pPr>
            <w:r>
              <w:rPr>
                <w:rFonts w:hint="eastAsia"/>
              </w:rPr>
              <w:t>10、系统应支持票据当事人任务切换功能，用户可自由切换票据当事人，不同的票据当事人操作不同的票据业务。票据当事人包含出票人、付款人、承兑人、背书人、被背书人等；</w:t>
            </w:r>
          </w:p>
          <w:p>
            <w:pPr>
              <w:pStyle w:val="15"/>
              <w:ind w:left="0" w:leftChars="0"/>
            </w:pPr>
            <w:r>
              <w:rPr>
                <w:rFonts w:hint="eastAsia"/>
              </w:rPr>
              <w:t>11、系统应支持按任务要求进行票据业务实训，并实时测评实训成绩，学生操作时可实时了解操作进度与操作错误点；学生可自评自测；教师可通过后台设置是否显示案例答案来选择练习和测评两种模式。</w:t>
            </w:r>
          </w:p>
          <w:p>
            <w:pPr>
              <w:pStyle w:val="15"/>
              <w:ind w:left="0" w:leftChars="0"/>
            </w:pPr>
            <w:r>
              <w:rPr>
                <w:rFonts w:hint="eastAsia"/>
              </w:rPr>
              <w:t>12、管理端教师可根据市场需求对承兑手续费、风险承担费、银行承兑承诺费进行利率设置及费率调整。</w:t>
            </w:r>
          </w:p>
          <w:p>
            <w:pPr>
              <w:numPr>
                <w:ilvl w:val="0"/>
                <w:numId w:val="11"/>
              </w:numPr>
              <w:jc w:val="center"/>
              <w:rPr>
                <w:szCs w:val="21"/>
              </w:rPr>
            </w:pPr>
            <w:r>
              <w:rPr>
                <w:rFonts w:hint="eastAsia"/>
                <w:szCs w:val="21"/>
              </w:rPr>
              <w:t>软件制造厂商应为软件认定企业，且为国家高新技术企业，通过ISO9001质量管理体系认证企业，提供</w:t>
            </w:r>
          </w:p>
          <w:p>
            <w:pPr>
              <w:rPr>
                <w:szCs w:val="22"/>
              </w:rPr>
            </w:pPr>
            <w:r>
              <w:rPr>
                <w:rFonts w:hint="eastAsia"/>
                <w:szCs w:val="21"/>
              </w:rPr>
              <w:t>在有效期内的证明文件，现场查验原件。</w:t>
            </w:r>
          </w:p>
          <w:p>
            <w:pPr>
              <w:rPr>
                <w:rFonts w:ascii="宋体" w:hAnsi="宋体" w:cs="宋体"/>
                <w:szCs w:val="21"/>
              </w:rPr>
            </w:pPr>
            <w:r>
              <w:rPr>
                <w:rFonts w:hint="eastAsia" w:ascii="宋体" w:hAnsi="宋体" w:cs="宋体"/>
                <w:szCs w:val="21"/>
              </w:rPr>
              <w:t>14、使用方有权利针对中标公司在供货之前要求演示核心功能，证明中标公司的软件是否满足要求，如有一项不满足，使用方有权利拒绝验收。</w:t>
            </w:r>
          </w:p>
          <w:p>
            <w:pPr>
              <w:rPr>
                <w:szCs w:val="22"/>
              </w:rPr>
            </w:pPr>
          </w:p>
        </w:tc>
        <w:tc>
          <w:tcPr>
            <w:tcW w:w="600" w:type="dxa"/>
            <w:shd w:val="clear" w:color="auto" w:fill="FFFFFF"/>
            <w:vAlign w:val="center"/>
          </w:tcPr>
          <w:p>
            <w:pPr>
              <w:jc w:val="center"/>
              <w:rPr>
                <w:rFonts w:ascii="Calibri" w:hAnsi="Calibri"/>
              </w:rPr>
            </w:pPr>
            <w:r>
              <w:rPr>
                <w:rFonts w:hint="eastAsia" w:ascii="Calibri" w:hAnsi="Calibri"/>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5</w:t>
            </w:r>
          </w:p>
        </w:tc>
        <w:tc>
          <w:tcPr>
            <w:tcW w:w="1339" w:type="dxa"/>
            <w:shd w:val="clear" w:color="auto" w:fill="FFFFFF"/>
            <w:vAlign w:val="center"/>
          </w:tcPr>
          <w:p>
            <w:pPr>
              <w:jc w:val="center"/>
            </w:pPr>
            <w:bookmarkStart w:id="37" w:name="OLE_LINK1"/>
            <w:r>
              <w:rPr>
                <w:rFonts w:hint="eastAsia" w:ascii="宋体" w:hAnsi="宋体" w:cs="宋体"/>
              </w:rPr>
              <w:t>银行业务综合技能竞赛平台软件</w:t>
            </w:r>
            <w:bookmarkEnd w:id="37"/>
          </w:p>
        </w:tc>
        <w:tc>
          <w:tcPr>
            <w:tcW w:w="6161" w:type="dxa"/>
            <w:shd w:val="clear" w:color="auto" w:fill="FFFFFF"/>
            <w:vAlign w:val="center"/>
          </w:tcPr>
          <w:p>
            <w:pPr>
              <w:rPr>
                <w:rFonts w:ascii="宋体" w:hAnsi="宋体" w:cs="宋体"/>
                <w:szCs w:val="21"/>
              </w:rPr>
            </w:pPr>
            <w:r>
              <w:rPr>
                <w:rFonts w:hint="eastAsia" w:ascii="宋体" w:hAnsi="宋体" w:cs="宋体"/>
                <w:szCs w:val="21"/>
              </w:rPr>
              <w:t>1、包含银行基础知识、货币识假、手工点钞技能、翻打传票技能、字符录入、综合业务技能六个竞赛平台；</w:t>
            </w:r>
          </w:p>
          <w:p>
            <w:pPr>
              <w:rPr>
                <w:rFonts w:ascii="宋体" w:hAnsi="宋体" w:cs="宋体"/>
                <w:szCs w:val="21"/>
              </w:rPr>
            </w:pPr>
            <w:r>
              <w:rPr>
                <w:rFonts w:hint="eastAsia" w:ascii="宋体" w:hAnsi="宋体" w:cs="宋体"/>
                <w:szCs w:val="21"/>
              </w:rPr>
              <w:t>2、管理端功能包含：银行网点管理、代表队管理、银行柜员管理、钱箱管理、利率管理、教师管理、参数管理、帮助管理、修改密码管理、赛区管理、点钞设置管理、点钞人工评分管理、翻打传票设置管理、银行知识竞赛管理、货币知识竞赛管理、竞赛计划管理、竞赛任务设置管理、竞赛时间设置管理、竞赛成绩查询、操作日志管理等；</w:t>
            </w:r>
          </w:p>
          <w:p>
            <w:pPr>
              <w:rPr>
                <w:rFonts w:ascii="宋体" w:hAnsi="宋体" w:cs="宋体"/>
                <w:szCs w:val="21"/>
              </w:rPr>
            </w:pPr>
            <w:r>
              <w:rPr>
                <w:rFonts w:hint="eastAsia" w:ascii="宋体" w:hAnsi="宋体" w:cs="宋体"/>
                <w:szCs w:val="21"/>
              </w:rPr>
              <w:t>3、点钞技能竞赛可实现任意设置定张把数点钞竞赛，并自动评定竞赛成绩；</w:t>
            </w:r>
          </w:p>
          <w:p>
            <w:pPr>
              <w:rPr>
                <w:rFonts w:ascii="宋体" w:hAnsi="宋体" w:cs="宋体"/>
                <w:szCs w:val="21"/>
              </w:rPr>
            </w:pPr>
            <w:r>
              <w:rPr>
                <w:rFonts w:hint="eastAsia" w:ascii="宋体" w:hAnsi="宋体" w:cs="宋体"/>
                <w:szCs w:val="21"/>
              </w:rPr>
              <w:t>4、翻打传票技能竞赛可后台设置传票类型及竞赛赛题，并自动评定竞赛成绩；</w:t>
            </w:r>
          </w:p>
          <w:p>
            <w:pPr>
              <w:rPr>
                <w:rFonts w:ascii="宋体" w:hAnsi="宋体" w:cs="宋体"/>
                <w:szCs w:val="21"/>
              </w:rPr>
            </w:pPr>
            <w:r>
              <w:rPr>
                <w:rFonts w:hint="eastAsia" w:ascii="宋体" w:hAnsi="宋体" w:cs="宋体"/>
                <w:szCs w:val="21"/>
              </w:rPr>
              <w:t>5、综合业务技能竞赛平台可实现任意设置竞赛任务，实时自动评定竞赛成绩。</w:t>
            </w:r>
          </w:p>
          <w:p>
            <w:pPr>
              <w:rPr>
                <w:rFonts w:ascii="宋体" w:hAnsi="宋体" w:cs="宋体"/>
                <w:szCs w:val="21"/>
              </w:rPr>
            </w:pPr>
            <w:r>
              <w:rPr>
                <w:rFonts w:hint="eastAsia" w:ascii="宋体" w:hAnsi="宋体" w:cs="宋体"/>
                <w:szCs w:val="21"/>
              </w:rPr>
              <w:t>6、竞赛任务包含通用业务、储蓄业务、借记卡业务、个人贷款业务、公司存款业务、公司贷款业务、结算业务、联行业务、代理业务、信用卡业务、保险业务、理财业务、网上银行业务、查询分析等。每个竞赛任务应包含任务说明、重要提示、操作日志等。竞赛任务功能可实理任务重复操作、自动提交等操作；</w:t>
            </w:r>
          </w:p>
          <w:p>
            <w:pPr>
              <w:rPr>
                <w:rFonts w:ascii="宋体" w:hAnsi="宋体" w:cs="宋体"/>
                <w:szCs w:val="21"/>
              </w:rPr>
            </w:pPr>
            <w:r>
              <w:rPr>
                <w:rFonts w:hint="eastAsia" w:ascii="宋体" w:hAnsi="宋体" w:cs="宋体"/>
                <w:szCs w:val="21"/>
              </w:rPr>
              <w:t>7、系统以真实证件（身份证、护照、营业执照等）作为题目的操作提示，学生在操作过程中通过真实证件，提取出其中的关键信息来完成题目要求的内容；</w:t>
            </w:r>
          </w:p>
          <w:p>
            <w:pPr>
              <w:rPr>
                <w:rFonts w:ascii="宋体" w:hAnsi="宋体" w:cs="宋体"/>
                <w:szCs w:val="21"/>
              </w:rPr>
            </w:pPr>
            <w:r>
              <w:rPr>
                <w:rFonts w:hint="eastAsia" w:ascii="宋体" w:hAnsi="宋体" w:cs="宋体"/>
                <w:szCs w:val="21"/>
              </w:rPr>
              <w:t>8、竞赛平台所有竞赛任务符合最新银行业务规范及操作流程，涵盖了商业银行综合柜台所有业务；</w:t>
            </w:r>
          </w:p>
          <w:p>
            <w:pPr>
              <w:rPr>
                <w:rFonts w:ascii="宋体" w:hAnsi="宋体" w:cs="宋体"/>
                <w:szCs w:val="21"/>
              </w:rPr>
            </w:pPr>
            <w:r>
              <w:rPr>
                <w:rFonts w:hint="eastAsia" w:ascii="宋体" w:hAnsi="宋体" w:cs="宋体"/>
                <w:szCs w:val="21"/>
              </w:rPr>
              <w:t>9、银行基础知识题库要求不少于3000题，货币识假题库不少于500题；</w:t>
            </w:r>
          </w:p>
          <w:p>
            <w:pPr>
              <w:rPr>
                <w:rFonts w:ascii="宋体" w:hAnsi="宋体" w:cs="宋体"/>
                <w:szCs w:val="21"/>
              </w:rPr>
            </w:pPr>
            <w:r>
              <w:rPr>
                <w:rFonts w:hint="eastAsia" w:ascii="宋体" w:hAnsi="宋体" w:cs="宋体"/>
                <w:szCs w:val="21"/>
              </w:rPr>
              <w:t>10、系统包含银行相关业务模块，个人理财、代理保险及网银模块；</w:t>
            </w:r>
          </w:p>
          <w:p>
            <w:pPr>
              <w:rPr>
                <w:rFonts w:ascii="宋体" w:hAnsi="宋体" w:cs="宋体"/>
                <w:szCs w:val="21"/>
              </w:rPr>
            </w:pPr>
            <w:r>
              <w:rPr>
                <w:rFonts w:hint="eastAsia" w:ascii="宋体" w:hAnsi="宋体" w:cs="宋体"/>
                <w:szCs w:val="21"/>
              </w:rPr>
              <w:t>11、系统能够自动生成代表队，批量生产学生账号，可随机及自定义登录密码；</w:t>
            </w:r>
          </w:p>
          <w:p>
            <w:pPr>
              <w:numPr>
                <w:ilvl w:val="0"/>
                <w:numId w:val="13"/>
              </w:numPr>
              <w:rPr>
                <w:rFonts w:ascii="宋体" w:hAnsi="宋体" w:cs="宋体"/>
                <w:szCs w:val="21"/>
              </w:rPr>
            </w:pPr>
            <w:r>
              <w:rPr>
                <w:rFonts w:hint="eastAsia" w:ascii="宋体" w:hAnsi="宋体" w:cs="宋体"/>
                <w:szCs w:val="21"/>
              </w:rPr>
              <w:t>学生操作提交后系统自动评分，现场公布比赛成绩；</w:t>
            </w:r>
          </w:p>
          <w:p>
            <w:pPr>
              <w:rPr>
                <w:rFonts w:ascii="宋体" w:hAnsi="宋体" w:cs="宋体"/>
                <w:szCs w:val="21"/>
              </w:rPr>
            </w:pPr>
            <w:r>
              <w:rPr>
                <w:rFonts w:hint="eastAsia" w:ascii="宋体" w:hAnsi="宋体" w:cs="宋体"/>
                <w:szCs w:val="21"/>
              </w:rPr>
              <w:t>13、竞赛过程中非人为造成竞赛损失，系统可登记补考；</w:t>
            </w:r>
          </w:p>
          <w:p>
            <w:pPr>
              <w:rPr>
                <w:rFonts w:ascii="宋体" w:hAnsi="宋体" w:cs="宋体"/>
                <w:szCs w:val="21"/>
              </w:rPr>
            </w:pPr>
            <w:r>
              <w:rPr>
                <w:rFonts w:hint="eastAsia" w:ascii="宋体" w:hAnsi="宋体" w:cs="宋体"/>
                <w:szCs w:val="21"/>
              </w:rPr>
              <w:t>14、教师端可查询学生操作失分点，并可重置学生相关操作数据；</w:t>
            </w:r>
          </w:p>
          <w:p>
            <w:pPr>
              <w:rPr>
                <w:rFonts w:ascii="宋体" w:hAnsi="宋体" w:cs="宋体"/>
                <w:szCs w:val="21"/>
              </w:rPr>
            </w:pPr>
            <w:r>
              <w:rPr>
                <w:rFonts w:hint="eastAsia" w:ascii="宋体" w:hAnsi="宋体" w:cs="宋体"/>
                <w:szCs w:val="21"/>
              </w:rPr>
              <w:t>15、系统应可实时播报成绩排名情况；</w:t>
            </w:r>
          </w:p>
          <w:p>
            <w:pPr>
              <w:rPr>
                <w:rFonts w:ascii="宋体" w:hAnsi="宋体" w:cs="宋体"/>
                <w:szCs w:val="21"/>
              </w:rPr>
            </w:pPr>
            <w:r>
              <w:rPr>
                <w:rFonts w:hint="eastAsia" w:ascii="宋体" w:hAnsi="宋体" w:cs="宋体"/>
                <w:szCs w:val="21"/>
              </w:rPr>
              <w:t>16、</w:t>
            </w:r>
            <w:r>
              <w:rPr>
                <w:rFonts w:hint="eastAsia"/>
                <w:szCs w:val="21"/>
              </w:rPr>
              <w:t>软件制造厂商应为软件认定企业，且为国家高新技术企业，通过ISO9001质量管理体系认证企业，提供</w:t>
            </w:r>
          </w:p>
          <w:p>
            <w:pPr>
              <w:rPr>
                <w:szCs w:val="21"/>
              </w:rPr>
            </w:pPr>
            <w:r>
              <w:rPr>
                <w:rFonts w:hint="eastAsia"/>
                <w:szCs w:val="21"/>
              </w:rPr>
              <w:t>在有效期内的证明文件，现场查验原件。</w:t>
            </w:r>
          </w:p>
          <w:p>
            <w:pPr>
              <w:rPr>
                <w:rFonts w:ascii="宋体" w:hAnsi="宋体" w:cs="宋体"/>
                <w:szCs w:val="21"/>
              </w:rPr>
            </w:pPr>
            <w:r>
              <w:rPr>
                <w:rFonts w:hint="eastAsia" w:ascii="宋体" w:hAnsi="宋体" w:cs="宋体"/>
                <w:szCs w:val="21"/>
              </w:rPr>
              <w:t>17、使用方有权利针对中标公司在供货之前要求演示核心功能，证明中标公司的软件是否满足要求，如有一项不满足，使用方有权利拒绝验收。</w:t>
            </w:r>
          </w:p>
        </w:tc>
        <w:tc>
          <w:tcPr>
            <w:tcW w:w="600" w:type="dxa"/>
            <w:shd w:val="clear" w:color="auto" w:fill="FFFFFF"/>
            <w:vAlign w:val="center"/>
          </w:tcPr>
          <w:p>
            <w:pPr>
              <w:jc w:val="center"/>
              <w:rPr>
                <w:rFonts w:ascii="Calibri" w:hAnsi="Calibri"/>
              </w:rPr>
            </w:pPr>
            <w:r>
              <w:rPr>
                <w:rFonts w:hint="eastAsia" w:ascii="Calibri" w:hAnsi="Calibri"/>
              </w:rPr>
              <w:t>1套</w:t>
            </w:r>
          </w:p>
          <w:p>
            <w:pPr>
              <w:jc w:val="center"/>
              <w:rPr>
                <w:rFonts w:ascii="Calibri" w:hAnsi="Calibri"/>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6</w:t>
            </w:r>
          </w:p>
        </w:tc>
        <w:tc>
          <w:tcPr>
            <w:tcW w:w="1339" w:type="dxa"/>
            <w:shd w:val="clear" w:color="auto" w:fill="FFFFFF"/>
            <w:vAlign w:val="center"/>
          </w:tcPr>
          <w:p>
            <w:pPr>
              <w:jc w:val="center"/>
              <w:rPr>
                <w:rFonts w:ascii="宋体" w:hAnsi="宋体" w:cs="宋体"/>
              </w:rPr>
            </w:pPr>
            <w:r>
              <w:rPr>
                <w:rFonts w:hint="eastAsia" w:ascii="宋体" w:hAnsi="宋体" w:cs="宋体"/>
              </w:rPr>
              <w:t>服务器</w:t>
            </w:r>
          </w:p>
        </w:tc>
        <w:tc>
          <w:tcPr>
            <w:tcW w:w="6161" w:type="dxa"/>
            <w:shd w:val="clear" w:color="auto" w:fill="FFFFFF"/>
            <w:vAlign w:val="center"/>
          </w:tcPr>
          <w:p>
            <w:pPr>
              <w:rPr>
                <w:rFonts w:ascii="宋体" w:hAnsi="宋体" w:cs="宋体"/>
                <w:szCs w:val="21"/>
              </w:rPr>
            </w:pPr>
            <w:r>
              <w:rPr>
                <w:rFonts w:hint="eastAsia" w:ascii="宋体" w:hAnsi="宋体" w:cs="宋体"/>
                <w:szCs w:val="21"/>
              </w:rPr>
              <w:t>联想（Lenovo） IBM服务器 X3650M5 2U机架式服务器 X3650M4升级版 双颗E5-2640V4 10核2.4G双电源 128G内存 8块600G硬盘R5</w:t>
            </w:r>
          </w:p>
        </w:tc>
        <w:tc>
          <w:tcPr>
            <w:tcW w:w="600" w:type="dxa"/>
            <w:shd w:val="clear" w:color="auto" w:fill="FFFFFF"/>
            <w:vAlign w:val="center"/>
          </w:tcPr>
          <w:p>
            <w:pPr>
              <w:jc w:val="center"/>
              <w:rPr>
                <w:rFonts w:ascii="Calibri" w:hAnsi="Calibri"/>
              </w:rPr>
            </w:pPr>
            <w:r>
              <w:rPr>
                <w:rFonts w:hint="eastAsia" w:ascii="Calibri" w:hAnsi="Calibri"/>
              </w:rPr>
              <w:t>2</w:t>
            </w:r>
            <w:r>
              <w:rPr>
                <w:rFonts w:hint="eastAsia" w:ascii="Calibri" w:hAnsi="Calibri"/>
                <w:lang w:eastAsia="zh-CN"/>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17" w:hRule="atLeast"/>
          <w:jc w:val="center"/>
        </w:trPr>
        <w:tc>
          <w:tcPr>
            <w:tcW w:w="969" w:type="dxa"/>
            <w:shd w:val="clear" w:color="auto" w:fill="FFFFFF"/>
            <w:vAlign w:val="center"/>
          </w:tcPr>
          <w:p>
            <w:pPr>
              <w:jc w:val="center"/>
              <w:rPr>
                <w:rFonts w:ascii="Calibri" w:hAnsi="Calibri"/>
              </w:rPr>
            </w:pPr>
            <w:r>
              <w:rPr>
                <w:rFonts w:hint="eastAsia" w:ascii="Calibri" w:hAnsi="Calibri"/>
              </w:rPr>
              <w:t>8</w:t>
            </w:r>
          </w:p>
        </w:tc>
        <w:tc>
          <w:tcPr>
            <w:tcW w:w="1339" w:type="dxa"/>
            <w:shd w:val="clear" w:color="auto" w:fill="FFFFFF"/>
            <w:vAlign w:val="center"/>
          </w:tcPr>
          <w:p>
            <w:pPr>
              <w:jc w:val="center"/>
              <w:rPr>
                <w:rFonts w:ascii="宋体" w:hAnsi="宋体" w:cs="宋体"/>
              </w:rPr>
            </w:pPr>
            <w:r>
              <w:rPr>
                <w:rFonts w:hint="eastAsia" w:ascii="宋体" w:hAnsi="宋体" w:cs="宋体"/>
              </w:rPr>
              <w:t>红蜘蛛多媒体网络教室教学软件</w:t>
            </w:r>
          </w:p>
        </w:tc>
        <w:tc>
          <w:tcPr>
            <w:tcW w:w="6161" w:type="dxa"/>
            <w:shd w:val="clear" w:color="auto" w:fill="FFFFFF"/>
            <w:vAlign w:val="center"/>
          </w:tcPr>
          <w:p>
            <w:pPr>
              <w:widowControl/>
              <w:jc w:val="left"/>
              <w:rPr>
                <w:rFonts w:ascii="宋体" w:hAnsi="宋体" w:cs="宋体"/>
                <w:kern w:val="0"/>
                <w:sz w:val="24"/>
              </w:rPr>
            </w:pPr>
            <w:r>
              <w:rPr>
                <w:rFonts w:ascii="宋体" w:hAnsi="宋体" w:cs="宋体"/>
                <w:kern w:val="0"/>
                <w:sz w:val="24"/>
              </w:rPr>
              <w:t>红蜘蛛多媒体电子教育教学软件v7.2  带加密狗 2个教室机+ 2</w:t>
            </w:r>
            <w:r>
              <w:rPr>
                <w:rFonts w:hint="eastAsia" w:ascii="宋体" w:hAnsi="宋体" w:cs="宋体"/>
                <w:kern w:val="0"/>
                <w:sz w:val="24"/>
              </w:rPr>
              <w:t>1</w:t>
            </w:r>
            <w:r>
              <w:rPr>
                <w:rFonts w:ascii="宋体" w:hAnsi="宋体" w:cs="宋体"/>
                <w:kern w:val="0"/>
                <w:sz w:val="24"/>
              </w:rPr>
              <w:t>2台学生机</w:t>
            </w:r>
          </w:p>
          <w:p>
            <w:pPr>
              <w:rPr>
                <w:rFonts w:ascii="宋体" w:hAnsi="宋体" w:cs="宋体"/>
                <w:szCs w:val="21"/>
              </w:rPr>
            </w:pPr>
          </w:p>
        </w:tc>
        <w:tc>
          <w:tcPr>
            <w:tcW w:w="600" w:type="dxa"/>
            <w:shd w:val="clear" w:color="auto" w:fill="FFFFFF"/>
            <w:vAlign w:val="center"/>
          </w:tcPr>
          <w:p>
            <w:pPr>
              <w:jc w:val="center"/>
              <w:rPr>
                <w:rFonts w:ascii="Calibri" w:hAnsi="Calibri"/>
              </w:rPr>
            </w:pPr>
            <w:r>
              <w:rPr>
                <w:rFonts w:hint="eastAsia" w:ascii="Calibri" w:hAnsi="Calibri"/>
              </w:rPr>
              <w:t>1</w:t>
            </w:r>
            <w:r>
              <w:rPr>
                <w:rFonts w:hint="eastAsia" w:ascii="Calibri" w:hAnsi="Calibri"/>
                <w:lang w:eastAsia="zh-CN"/>
              </w:rPr>
              <w:t>套</w:t>
            </w:r>
          </w:p>
        </w:tc>
      </w:tr>
    </w:tbl>
    <w:p>
      <w:pPr>
        <w:jc w:val="left"/>
        <w:rPr>
          <w:rFonts w:hint="eastAsia" w:ascii="仿宋" w:hAnsi="仿宋" w:eastAsia="仿宋" w:cs="仿宋"/>
          <w:b/>
          <w:bCs/>
          <w:sz w:val="28"/>
          <w:szCs w:val="28"/>
        </w:rPr>
      </w:pPr>
    </w:p>
    <w:p>
      <w:pPr>
        <w:jc w:val="left"/>
        <w:rPr>
          <w:rFonts w:hint="eastAsia" w:ascii="仿宋" w:hAnsi="仿宋" w:eastAsia="仿宋" w:cs="仿宋"/>
          <w:b/>
          <w:bCs/>
          <w:sz w:val="28"/>
          <w:szCs w:val="28"/>
        </w:rPr>
      </w:pPr>
    </w:p>
    <w:p>
      <w:pPr>
        <w:jc w:val="left"/>
        <w:rPr>
          <w:rFonts w:hint="eastAsia" w:ascii="仿宋" w:hAnsi="仿宋" w:eastAsia="仿宋" w:cs="仿宋"/>
          <w:b/>
          <w:bCs/>
          <w:sz w:val="28"/>
          <w:szCs w:val="28"/>
        </w:rPr>
      </w:pPr>
    </w:p>
    <w:p>
      <w:pPr>
        <w:jc w:val="left"/>
        <w:rPr>
          <w:rFonts w:hint="eastAsia" w:ascii="仿宋" w:hAnsi="仿宋" w:eastAsia="仿宋" w:cs="仿宋"/>
          <w:b/>
          <w:bCs/>
          <w:sz w:val="28"/>
          <w:szCs w:val="28"/>
        </w:rPr>
      </w:pPr>
    </w:p>
    <w:p>
      <w:pPr>
        <w:jc w:val="left"/>
        <w:rPr>
          <w:rFonts w:ascii="仿宋" w:hAnsi="仿宋" w:eastAsia="仿宋" w:cs="仿宋"/>
          <w:b/>
          <w:bCs/>
          <w:sz w:val="28"/>
          <w:szCs w:val="28"/>
        </w:rPr>
      </w:pPr>
      <w:r>
        <w:rPr>
          <w:rFonts w:hint="eastAsia" w:ascii="仿宋" w:hAnsi="仿宋" w:eastAsia="仿宋" w:cs="仿宋"/>
          <w:b/>
          <w:bCs/>
          <w:sz w:val="28"/>
          <w:szCs w:val="28"/>
        </w:rPr>
        <w:t>注：</w:t>
      </w:r>
    </w:p>
    <w:p>
      <w:pPr>
        <w:rPr>
          <w:b/>
          <w:sz w:val="24"/>
        </w:rPr>
      </w:pPr>
      <w:r>
        <w:rPr>
          <w:rFonts w:hint="eastAsia" w:ascii="Calibri" w:hAnsi="Calibri"/>
        </w:rPr>
        <w:t>售后服务要求</w:t>
      </w:r>
    </w:p>
    <w:p>
      <w:pPr>
        <w:numPr>
          <w:ilvl w:val="1"/>
          <w:numId w:val="14"/>
        </w:numPr>
        <w:spacing w:line="360" w:lineRule="auto"/>
        <w:rPr>
          <w:sz w:val="18"/>
          <w:szCs w:val="18"/>
        </w:rPr>
      </w:pPr>
      <w:r>
        <w:rPr>
          <w:rFonts w:hint="eastAsia"/>
          <w:sz w:val="18"/>
          <w:szCs w:val="18"/>
        </w:rPr>
        <w:t>免费上门安装、调试、培训；</w:t>
      </w:r>
    </w:p>
    <w:p>
      <w:pPr>
        <w:numPr>
          <w:ilvl w:val="1"/>
          <w:numId w:val="14"/>
        </w:numPr>
        <w:spacing w:line="360" w:lineRule="auto"/>
        <w:rPr>
          <w:sz w:val="18"/>
          <w:szCs w:val="18"/>
        </w:rPr>
      </w:pPr>
      <w:r>
        <w:rPr>
          <w:rFonts w:hint="eastAsia"/>
          <w:sz w:val="18"/>
          <w:szCs w:val="18"/>
        </w:rPr>
        <w:t>免费培训教师、系统管理人员：具体内容包括协助教师针对本系统设计教学实验案例，制定实验评测计划，合理安排实验课时等；</w:t>
      </w:r>
    </w:p>
    <w:p>
      <w:pPr>
        <w:numPr>
          <w:ilvl w:val="1"/>
          <w:numId w:val="14"/>
        </w:numPr>
        <w:spacing w:line="360" w:lineRule="auto"/>
        <w:rPr>
          <w:sz w:val="18"/>
          <w:szCs w:val="18"/>
        </w:rPr>
      </w:pPr>
      <w:r>
        <w:rPr>
          <w:rFonts w:hint="eastAsia"/>
          <w:sz w:val="18"/>
          <w:szCs w:val="18"/>
        </w:rPr>
        <w:t xml:space="preserve">提供配套操作手册、电子教案等辅助教学工具； </w:t>
      </w:r>
    </w:p>
    <w:p>
      <w:pPr>
        <w:numPr>
          <w:ilvl w:val="1"/>
          <w:numId w:val="14"/>
        </w:numPr>
        <w:spacing w:line="360" w:lineRule="auto"/>
        <w:rPr>
          <w:sz w:val="18"/>
          <w:szCs w:val="18"/>
        </w:rPr>
      </w:pPr>
      <w:r>
        <w:rPr>
          <w:rFonts w:hint="eastAsia"/>
          <w:sz w:val="18"/>
          <w:szCs w:val="18"/>
        </w:rPr>
        <w:t>前2堂课的全程现场跟踪指导服务。在系统运行过程中要每月进行一次售后回访，以及时发现问题。</w:t>
      </w:r>
    </w:p>
    <w:p>
      <w:pPr>
        <w:numPr>
          <w:ilvl w:val="1"/>
          <w:numId w:val="14"/>
        </w:numPr>
        <w:spacing w:line="360" w:lineRule="auto"/>
        <w:rPr>
          <w:sz w:val="18"/>
          <w:szCs w:val="18"/>
        </w:rPr>
      </w:pPr>
      <w:r>
        <w:rPr>
          <w:rFonts w:hint="eastAsia"/>
          <w:sz w:val="18"/>
          <w:szCs w:val="18"/>
        </w:rPr>
        <w:t>软件提供终身免费软件升级和维护服务；两种升级模式：一、主动式。由我公司主动上门提供软件升级服务；二、定制方式。由学校提出软件修改的书面需求由双方协商后提供升级版本。</w:t>
      </w:r>
    </w:p>
    <w:p>
      <w:pPr>
        <w:numPr>
          <w:ilvl w:val="1"/>
          <w:numId w:val="14"/>
        </w:numPr>
        <w:spacing w:line="360" w:lineRule="auto"/>
        <w:rPr>
          <w:sz w:val="18"/>
          <w:szCs w:val="18"/>
        </w:rPr>
      </w:pPr>
      <w:r>
        <w:rPr>
          <w:rFonts w:hint="eastAsia"/>
          <w:sz w:val="18"/>
          <w:szCs w:val="18"/>
        </w:rPr>
        <w:t>售后服务方式：电话咨询、邮件服务、Internet网上技术支持、远程在线登录、免费现场等。</w:t>
      </w: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5"/>
        </w:numPr>
        <w:tabs>
          <w:tab w:val="left" w:pos="0"/>
        </w:tabs>
        <w:ind w:firstLine="560" w:firstLineChars="200"/>
        <w:outlineLvl w:val="1"/>
        <w:rPr>
          <w:rFonts w:ascii="仿宋" w:hAnsi="仿宋" w:eastAsia="仿宋" w:cs="仿宋"/>
          <w:sz w:val="28"/>
          <w:szCs w:val="28"/>
        </w:rPr>
      </w:pPr>
      <w:bookmarkStart w:id="38" w:name="_Toc373485997"/>
      <w:bookmarkStart w:id="39" w:name="_Toc373486310"/>
      <w:bookmarkStart w:id="40" w:name="_Toc373500463"/>
      <w:r>
        <w:rPr>
          <w:rFonts w:hint="eastAsia" w:ascii="仿宋" w:hAnsi="仿宋" w:eastAsia="仿宋" w:cs="仿宋"/>
          <w:sz w:val="28"/>
          <w:szCs w:val="28"/>
        </w:rPr>
        <w:t>产品要求</w:t>
      </w:r>
      <w:bookmarkEnd w:id="38"/>
      <w:bookmarkEnd w:id="39"/>
      <w:bookmarkEnd w:id="40"/>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6"/>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6"/>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6"/>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6"/>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项目实施期间出现工伤事故，由乙方自行负责。</w:t>
      </w:r>
    </w:p>
    <w:p>
      <w:pPr>
        <w:numPr>
          <w:ilvl w:val="0"/>
          <w:numId w:val="16"/>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乙方在搬迁、移动甲方设备时，不得对甲方设备、财产等造成任何破坏及损失。</w:t>
      </w:r>
    </w:p>
    <w:p>
      <w:pPr>
        <w:ind w:left="420"/>
        <w:rPr>
          <w:rFonts w:ascii="仿宋" w:hAnsi="仿宋" w:eastAsia="仿宋" w:cs="仿宋"/>
          <w:sz w:val="28"/>
          <w:szCs w:val="28"/>
        </w:rPr>
      </w:pPr>
    </w:p>
    <w:p>
      <w:pPr>
        <w:numPr>
          <w:ilvl w:val="0"/>
          <w:numId w:val="15"/>
        </w:numPr>
        <w:tabs>
          <w:tab w:val="left" w:pos="0"/>
        </w:tabs>
        <w:ind w:firstLine="560" w:firstLineChars="200"/>
        <w:outlineLvl w:val="1"/>
        <w:rPr>
          <w:rFonts w:ascii="仿宋" w:hAnsi="仿宋" w:eastAsia="仿宋" w:cs="仿宋"/>
          <w:sz w:val="28"/>
          <w:szCs w:val="28"/>
        </w:rPr>
      </w:pPr>
      <w:bookmarkStart w:id="41" w:name="_Toc373485998"/>
      <w:bookmarkStart w:id="42" w:name="_Toc373486311"/>
      <w:bookmarkStart w:id="43" w:name="_Toc373500464"/>
      <w:r>
        <w:rPr>
          <w:rFonts w:hint="eastAsia" w:ascii="仿宋" w:hAnsi="仿宋" w:eastAsia="仿宋" w:cs="仿宋"/>
          <w:sz w:val="28"/>
          <w:szCs w:val="28"/>
        </w:rPr>
        <w:t>供货及验收</w:t>
      </w:r>
      <w:bookmarkEnd w:id="41"/>
      <w:bookmarkEnd w:id="42"/>
      <w:bookmarkEnd w:id="43"/>
    </w:p>
    <w:p>
      <w:pPr>
        <w:numPr>
          <w:ilvl w:val="0"/>
          <w:numId w:val="17"/>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7"/>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7"/>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7"/>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7"/>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7"/>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5"/>
        </w:numPr>
        <w:tabs>
          <w:tab w:val="left" w:pos="0"/>
        </w:tabs>
        <w:ind w:firstLine="560" w:firstLineChars="200"/>
        <w:outlineLvl w:val="1"/>
        <w:rPr>
          <w:rFonts w:ascii="仿宋" w:hAnsi="仿宋" w:eastAsia="仿宋" w:cs="仿宋"/>
          <w:sz w:val="28"/>
          <w:szCs w:val="28"/>
        </w:rPr>
      </w:pPr>
      <w:bookmarkStart w:id="44" w:name="_Toc373486312"/>
      <w:bookmarkStart w:id="45" w:name="_Toc373485999"/>
      <w:bookmarkStart w:id="46" w:name="_Toc373500465"/>
      <w:r>
        <w:rPr>
          <w:rFonts w:hint="eastAsia" w:ascii="仿宋" w:hAnsi="仿宋" w:eastAsia="仿宋" w:cs="仿宋"/>
          <w:sz w:val="28"/>
          <w:szCs w:val="28"/>
        </w:rPr>
        <w:t>售后服务</w:t>
      </w:r>
      <w:bookmarkEnd w:id="44"/>
      <w:bookmarkEnd w:id="45"/>
      <w:bookmarkEnd w:id="46"/>
    </w:p>
    <w:p>
      <w:pPr>
        <w:numPr>
          <w:ilvl w:val="0"/>
          <w:numId w:val="18"/>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8"/>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8"/>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8"/>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8"/>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5"/>
        </w:numPr>
        <w:tabs>
          <w:tab w:val="left" w:pos="0"/>
        </w:tabs>
        <w:ind w:firstLine="560" w:firstLineChars="200"/>
        <w:outlineLvl w:val="1"/>
        <w:rPr>
          <w:rFonts w:ascii="仿宋" w:hAnsi="仿宋" w:eastAsia="仿宋" w:cs="仿宋"/>
          <w:sz w:val="28"/>
          <w:szCs w:val="28"/>
        </w:rPr>
      </w:pPr>
      <w:bookmarkStart w:id="47" w:name="_Toc373486000"/>
      <w:bookmarkStart w:id="48" w:name="_Toc373500466"/>
      <w:bookmarkStart w:id="49" w:name="_Toc373486313"/>
      <w:r>
        <w:rPr>
          <w:rFonts w:hint="eastAsia" w:ascii="仿宋" w:hAnsi="仿宋" w:eastAsia="仿宋" w:cs="仿宋"/>
          <w:sz w:val="28"/>
          <w:szCs w:val="28"/>
        </w:rPr>
        <w:t>付款方式</w:t>
      </w:r>
      <w:bookmarkEnd w:id="47"/>
      <w:bookmarkEnd w:id="48"/>
      <w:bookmarkEnd w:id="49"/>
    </w:p>
    <w:p>
      <w:pPr>
        <w:numPr>
          <w:ilvl w:val="0"/>
          <w:numId w:val="19"/>
        </w:numPr>
        <w:rPr>
          <w:rFonts w:ascii="仿宋" w:hAnsi="仿宋" w:eastAsia="仿宋" w:cs="仿宋"/>
          <w:sz w:val="28"/>
          <w:szCs w:val="28"/>
        </w:rPr>
      </w:pPr>
      <w:bookmarkStart w:id="50" w:name="_Toc24005"/>
      <w:bookmarkStart w:id="51" w:name="_Toc22196"/>
      <w:bookmarkStart w:id="52" w:name="_Toc16266"/>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50"/>
      <w:bookmarkEnd w:id="51"/>
      <w:bookmarkEnd w:id="52"/>
    </w:p>
    <w:p>
      <w:pPr>
        <w:numPr>
          <w:ilvl w:val="0"/>
          <w:numId w:val="19"/>
        </w:numPr>
        <w:ind w:firstLineChars="150"/>
        <w:rPr>
          <w:rFonts w:ascii="仿宋" w:hAnsi="仿宋" w:eastAsia="仿宋" w:cs="仿宋"/>
          <w:sz w:val="28"/>
          <w:szCs w:val="28"/>
        </w:rPr>
      </w:pPr>
      <w:bookmarkStart w:id="53" w:name="_Toc22795"/>
      <w:r>
        <w:rPr>
          <w:rFonts w:hint="eastAsia" w:ascii="仿宋" w:hAnsi="仿宋" w:eastAsia="仿宋" w:cs="仿宋"/>
          <w:sz w:val="28"/>
          <w:szCs w:val="28"/>
        </w:rPr>
        <w:t>支付以上款项前，卖方必须按付款金额向买方提供等额正规发票，否则甲方有权拒绝付款。</w:t>
      </w:r>
      <w:bookmarkEnd w:id="53"/>
    </w:p>
    <w:p>
      <w:pPr>
        <w:outlineLvl w:val="0"/>
        <w:rPr>
          <w:rFonts w:ascii="黑体" w:hAnsi="黑体" w:eastAsia="黑体" w:cs="黑体"/>
          <w:sz w:val="44"/>
          <w:szCs w:val="44"/>
        </w:rPr>
      </w:pPr>
    </w:p>
    <w:p>
      <w:pPr>
        <w:jc w:val="center"/>
        <w:outlineLvl w:val="0"/>
        <w:rPr>
          <w:rFonts w:ascii="黑体" w:hAnsi="黑体" w:eastAsia="黑体" w:cs="黑体"/>
          <w:sz w:val="44"/>
          <w:szCs w:val="44"/>
        </w:rPr>
      </w:pPr>
      <w:bookmarkStart w:id="54" w:name="_Toc373486314"/>
      <w:bookmarkStart w:id="55" w:name="_Toc373500467"/>
      <w:bookmarkStart w:id="56"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4"/>
      <w:bookmarkEnd w:id="55"/>
      <w:bookmarkEnd w:id="56"/>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7" w:name="_Toc373486315"/>
      <w:bookmarkStart w:id="58" w:name="_Toc373500468"/>
      <w:bookmarkStart w:id="59" w:name="_Toc373486002"/>
      <w:r>
        <w:rPr>
          <w:rFonts w:hint="eastAsia" w:ascii="仿宋" w:hAnsi="仿宋" w:eastAsia="仿宋" w:cs="仿宋"/>
          <w:b/>
          <w:sz w:val="36"/>
          <w:szCs w:val="36"/>
        </w:rPr>
        <w:t>开标一览表</w:t>
      </w:r>
      <w:bookmarkEnd w:id="57"/>
      <w:bookmarkEnd w:id="58"/>
      <w:bookmarkEnd w:id="59"/>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7"/>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6"/>
        <w:spacing w:line="440" w:lineRule="exact"/>
        <w:ind w:firstLine="3360" w:firstLineChars="1200"/>
        <w:rPr>
          <w:rFonts w:ascii="仿宋" w:hAnsi="仿宋" w:eastAsia="仿宋" w:cs="仿宋"/>
          <w:spacing w:val="20"/>
          <w:sz w:val="24"/>
        </w:rPr>
      </w:pPr>
      <w:r>
        <w:rPr>
          <w:rFonts w:hint="eastAsia" w:ascii="仿宋" w:hAnsi="仿宋" w:eastAsia="仿宋" w:cs="仿宋"/>
          <w:spacing w:val="20"/>
          <w:sz w:val="24"/>
        </w:rPr>
        <w:t>法人代表或委托代理人签名：</w:t>
      </w:r>
    </w:p>
    <w:p>
      <w:pPr>
        <w:pStyle w:val="16"/>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p>
    <w:p>
      <w:pPr>
        <w:pStyle w:val="16"/>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60" w:name="_Toc373486316"/>
      <w:bookmarkStart w:id="61" w:name="_Toc373500469"/>
      <w:bookmarkStart w:id="62" w:name="_Toc373486003"/>
      <w:r>
        <w:rPr>
          <w:rFonts w:hint="eastAsia" w:ascii="仿宋" w:hAnsi="仿宋" w:eastAsia="仿宋" w:cs="仿宋"/>
          <w:b/>
          <w:sz w:val="36"/>
          <w:szCs w:val="36"/>
        </w:rPr>
        <w:t>投标函</w:t>
      </w:r>
      <w:bookmarkEnd w:id="60"/>
      <w:bookmarkEnd w:id="61"/>
      <w:bookmarkEnd w:id="62"/>
    </w:p>
    <w:p>
      <w:pPr>
        <w:pStyle w:val="16"/>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6"/>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20"/>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20"/>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总投标价为（大写）：元人民币；</w:t>
      </w:r>
    </w:p>
    <w:p>
      <w:pPr>
        <w:pStyle w:val="16"/>
        <w:numPr>
          <w:ilvl w:val="0"/>
          <w:numId w:val="20"/>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6"/>
        <w:numPr>
          <w:ilvl w:val="0"/>
          <w:numId w:val="20"/>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6"/>
        <w:numPr>
          <w:ilvl w:val="0"/>
          <w:numId w:val="20"/>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6"/>
        <w:numPr>
          <w:ilvl w:val="0"/>
          <w:numId w:val="20"/>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6"/>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6"/>
        <w:numPr>
          <w:ilvl w:val="0"/>
          <w:numId w:val="20"/>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6"/>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6"/>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6"/>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6"/>
        <w:spacing w:line="440" w:lineRule="exact"/>
        <w:ind w:firstLine="480" w:firstLineChars="200"/>
        <w:rPr>
          <w:rFonts w:ascii="仿宋" w:hAnsi="仿宋" w:eastAsia="仿宋" w:cs="仿宋"/>
          <w:sz w:val="24"/>
        </w:rPr>
      </w:pPr>
    </w:p>
    <w:p>
      <w:pPr>
        <w:pStyle w:val="16"/>
        <w:spacing w:line="440" w:lineRule="exact"/>
        <w:ind w:firstLine="480" w:firstLineChars="200"/>
        <w:rPr>
          <w:rFonts w:ascii="仿宋" w:hAnsi="仿宋" w:eastAsia="仿宋" w:cs="仿宋"/>
          <w:sz w:val="24"/>
        </w:rPr>
      </w:pPr>
    </w:p>
    <w:p>
      <w:pPr>
        <w:pStyle w:val="16"/>
        <w:spacing w:line="440" w:lineRule="exact"/>
        <w:ind w:firstLine="480" w:firstLineChars="200"/>
        <w:rPr>
          <w:rFonts w:ascii="仿宋" w:hAnsi="仿宋" w:eastAsia="仿宋" w:cs="仿宋"/>
          <w:sz w:val="24"/>
        </w:rPr>
      </w:pPr>
    </w:p>
    <w:p>
      <w:pPr>
        <w:pStyle w:val="16"/>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p>
    <w:p>
      <w:pPr>
        <w:pStyle w:val="16"/>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p>
    <w:p>
      <w:pPr>
        <w:pStyle w:val="16"/>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3" w:name="_Toc15639"/>
      <w:r>
        <w:rPr>
          <w:rFonts w:ascii="仿宋" w:hAnsi="仿宋" w:eastAsia="仿宋" w:cs="仿宋"/>
          <w:sz w:val="24"/>
        </w:rPr>
        <w:br w:type="page"/>
      </w:r>
      <w:r>
        <w:rPr>
          <w:rFonts w:hint="eastAsia" w:ascii="仿宋" w:hAnsi="仿宋" w:eastAsia="仿宋" w:cs="仿宋"/>
          <w:sz w:val="24"/>
        </w:rPr>
        <w:t>附件三：</w:t>
      </w:r>
      <w:bookmarkEnd w:id="63"/>
    </w:p>
    <w:p>
      <w:pPr>
        <w:jc w:val="center"/>
        <w:outlineLvl w:val="1"/>
        <w:rPr>
          <w:rFonts w:ascii="仿宋" w:hAnsi="仿宋" w:eastAsia="仿宋" w:cs="仿宋"/>
          <w:b/>
          <w:sz w:val="36"/>
          <w:szCs w:val="36"/>
        </w:rPr>
      </w:pPr>
      <w:bookmarkStart w:id="64" w:name="_Toc373486004"/>
      <w:bookmarkStart w:id="65" w:name="_Toc373486317"/>
      <w:bookmarkStart w:id="66" w:name="_Toc7214"/>
      <w:bookmarkStart w:id="67" w:name="_Toc373500470"/>
      <w:r>
        <w:rPr>
          <w:rFonts w:hint="eastAsia" w:ascii="仿宋" w:hAnsi="仿宋" w:eastAsia="仿宋" w:cs="仿宋"/>
          <w:b/>
          <w:sz w:val="36"/>
          <w:szCs w:val="36"/>
        </w:rPr>
        <w:t>投标报价明细表</w:t>
      </w:r>
      <w:bookmarkEnd w:id="64"/>
      <w:bookmarkEnd w:id="65"/>
      <w:bookmarkEnd w:id="66"/>
      <w:bookmarkEnd w:id="67"/>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7"/>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6"/>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p>
    <w:p>
      <w:pPr>
        <w:pStyle w:val="16"/>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p>
    <w:p>
      <w:pPr>
        <w:pStyle w:val="16"/>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8" w:name="_Toc373486005"/>
      <w:bookmarkStart w:id="69" w:name="_Toc373500471"/>
      <w:bookmarkStart w:id="70" w:name="_Toc373486318"/>
      <w:r>
        <w:rPr>
          <w:rFonts w:hint="eastAsia" w:ascii="仿宋" w:hAnsi="仿宋" w:eastAsia="仿宋" w:cs="仿宋"/>
          <w:b/>
          <w:sz w:val="36"/>
          <w:szCs w:val="36"/>
        </w:rPr>
        <w:t>技术参数与商务条款偏离表</w:t>
      </w:r>
      <w:bookmarkEnd w:id="68"/>
      <w:bookmarkEnd w:id="69"/>
      <w:bookmarkEnd w:id="70"/>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7"/>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6"/>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p>
    <w:p>
      <w:pPr>
        <w:pStyle w:val="16"/>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p>
    <w:p>
      <w:pPr>
        <w:pStyle w:val="16"/>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p>
    <w:p>
      <w:pPr>
        <w:rPr>
          <w:rFonts w:ascii="黑体" w:hAnsi="黑体" w:eastAsia="黑体" w:cs="黑体"/>
          <w:sz w:val="24"/>
        </w:rPr>
      </w:pPr>
    </w:p>
    <w:p/>
    <w:p/>
    <w:p/>
    <w:p/>
    <w:p/>
    <w:p/>
    <w:p/>
    <w:p/>
    <w:p>
      <w:pPr>
        <w:rPr>
          <w:sz w:val="24"/>
        </w:rPr>
      </w:pPr>
    </w:p>
    <w:p>
      <w:pPr>
        <w:jc w:val="left"/>
      </w:pPr>
    </w:p>
    <w:sectPr>
      <w:footerReference r:id="rId9"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25</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7" o:spid="_x0000_s1027"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25</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中山大学新华学院2017年金融工程实验室软件采购项目招标                             项目编号：ZDXHAa201702008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中山大学新华学院2017年金融工程实验室软件采购项目招标                            项目编号：</w:t>
    </w:r>
    <w:r>
      <w:t>ZDXHAa201</w:t>
    </w:r>
    <w:r>
      <w:rPr>
        <w:rFonts w:hint="eastAsia"/>
      </w:rPr>
      <w:t>7</w:t>
    </w:r>
    <w:r>
      <w:t>0</w:t>
    </w:r>
    <w:r>
      <w:rPr>
        <w:rFonts w:hint="eastAsia"/>
      </w:rPr>
      <w:t>2</w:t>
    </w:r>
    <w:r>
      <w:t>0</w:t>
    </w:r>
    <w:r>
      <w:rPr>
        <w:rFonts w:hint="eastAsia"/>
      </w:rPr>
      <w:t>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5"/>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1E462415"/>
    <w:multiLevelType w:val="multilevel"/>
    <w:tmpl w:val="1E462415"/>
    <w:lvl w:ilvl="0" w:tentative="0">
      <w:start w:val="5"/>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24627BD"/>
    <w:multiLevelType w:val="multilevel"/>
    <w:tmpl w:val="424627BD"/>
    <w:lvl w:ilvl="0" w:tentative="0">
      <w:start w:val="12"/>
      <w:numFmt w:val="decimal"/>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6C688F"/>
    <w:multiLevelType w:val="singleLevel"/>
    <w:tmpl w:val="586C688F"/>
    <w:lvl w:ilvl="0" w:tentative="0">
      <w:start w:val="4"/>
      <w:numFmt w:val="chineseCounting"/>
      <w:suff w:val="nothing"/>
      <w:lvlText w:val="（%1）"/>
      <w:lvlJc w:val="left"/>
    </w:lvl>
  </w:abstractNum>
  <w:abstractNum w:abstractNumId="15">
    <w:nsid w:val="59896093"/>
    <w:multiLevelType w:val="singleLevel"/>
    <w:tmpl w:val="59896093"/>
    <w:lvl w:ilvl="0" w:tentative="0">
      <w:start w:val="5"/>
      <w:numFmt w:val="decimal"/>
      <w:suff w:val="nothing"/>
      <w:lvlText w:val="%1、"/>
      <w:lvlJc w:val="left"/>
    </w:lvl>
  </w:abstractNum>
  <w:abstractNum w:abstractNumId="16">
    <w:nsid w:val="59F937BE"/>
    <w:multiLevelType w:val="singleLevel"/>
    <w:tmpl w:val="59F937BE"/>
    <w:lvl w:ilvl="0" w:tentative="0">
      <w:start w:val="13"/>
      <w:numFmt w:val="decimal"/>
      <w:suff w:val="nothing"/>
      <w:lvlText w:val="%1、"/>
      <w:lvlJc w:val="left"/>
    </w:lvl>
  </w:abstractNum>
  <w:abstractNum w:abstractNumId="17">
    <w:nsid w:val="59F93A14"/>
    <w:multiLevelType w:val="multilevel"/>
    <w:tmpl w:val="59F93A14"/>
    <w:lvl w:ilvl="0" w:tentative="0">
      <w:start w:val="12"/>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F96FFA"/>
    <w:multiLevelType w:val="singleLevel"/>
    <w:tmpl w:val="59F96FFA"/>
    <w:lvl w:ilvl="0" w:tentative="0">
      <w:start w:val="6"/>
      <w:numFmt w:val="decimal"/>
      <w:suff w:val="nothing"/>
      <w:lvlText w:val="%1、"/>
      <w:lvlJc w:val="left"/>
    </w:lvl>
  </w:abstractNum>
  <w:abstractNum w:abstractNumId="19">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5"/>
  </w:num>
  <w:num w:numId="10">
    <w:abstractNumId w:val="16"/>
  </w:num>
  <w:num w:numId="11">
    <w:abstractNumId w:val="17"/>
  </w:num>
  <w:num w:numId="12">
    <w:abstractNumId w:val="18"/>
  </w:num>
  <w:num w:numId="13">
    <w:abstractNumId w:val="13"/>
  </w:num>
  <w:num w:numId="14">
    <w:abstractNumId w:val="12"/>
  </w:num>
  <w:num w:numId="15">
    <w:abstractNumId w:val="8"/>
  </w:num>
  <w:num w:numId="16">
    <w:abstractNumId w:val="14"/>
  </w:num>
  <w:num w:numId="17">
    <w:abstractNumId w:val="9"/>
  </w:num>
  <w:num w:numId="18">
    <w:abstractNumId w:val="6"/>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1111"/>
    <w:rsid w:val="000057E8"/>
    <w:rsid w:val="00007665"/>
    <w:rsid w:val="0001125F"/>
    <w:rsid w:val="00020DE3"/>
    <w:rsid w:val="00025E0D"/>
    <w:rsid w:val="00031C7E"/>
    <w:rsid w:val="0003530E"/>
    <w:rsid w:val="000375E4"/>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0F1D29"/>
    <w:rsid w:val="00123417"/>
    <w:rsid w:val="00123536"/>
    <w:rsid w:val="001257CE"/>
    <w:rsid w:val="00125A89"/>
    <w:rsid w:val="00125C57"/>
    <w:rsid w:val="00126281"/>
    <w:rsid w:val="00136356"/>
    <w:rsid w:val="001509F3"/>
    <w:rsid w:val="0015783D"/>
    <w:rsid w:val="001607B4"/>
    <w:rsid w:val="001669C0"/>
    <w:rsid w:val="00166D0E"/>
    <w:rsid w:val="001702DC"/>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B0356"/>
    <w:rsid w:val="002C01E1"/>
    <w:rsid w:val="002C4841"/>
    <w:rsid w:val="002C5CD4"/>
    <w:rsid w:val="002D631F"/>
    <w:rsid w:val="002E3F98"/>
    <w:rsid w:val="002F56FC"/>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2248"/>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427CD"/>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23C2"/>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253B"/>
    <w:rsid w:val="006C36A2"/>
    <w:rsid w:val="006C6DDB"/>
    <w:rsid w:val="006D72D7"/>
    <w:rsid w:val="006F1347"/>
    <w:rsid w:val="006F2A38"/>
    <w:rsid w:val="006F5436"/>
    <w:rsid w:val="006F5B8E"/>
    <w:rsid w:val="007146AE"/>
    <w:rsid w:val="00731AD5"/>
    <w:rsid w:val="00733C33"/>
    <w:rsid w:val="00742D1D"/>
    <w:rsid w:val="0074446F"/>
    <w:rsid w:val="00746FFA"/>
    <w:rsid w:val="007534D3"/>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7F7702"/>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D6897"/>
    <w:rsid w:val="008E01EF"/>
    <w:rsid w:val="008E5379"/>
    <w:rsid w:val="008E58E0"/>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5A86"/>
    <w:rsid w:val="00986125"/>
    <w:rsid w:val="009A21B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92484"/>
    <w:rsid w:val="00AA0B06"/>
    <w:rsid w:val="00AD483F"/>
    <w:rsid w:val="00AD6032"/>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830"/>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3D2C"/>
    <w:rsid w:val="00CD480D"/>
    <w:rsid w:val="00CD6A87"/>
    <w:rsid w:val="00CE0FAF"/>
    <w:rsid w:val="00CE334C"/>
    <w:rsid w:val="00CE472D"/>
    <w:rsid w:val="00CE6031"/>
    <w:rsid w:val="00D06016"/>
    <w:rsid w:val="00D33381"/>
    <w:rsid w:val="00D365B5"/>
    <w:rsid w:val="00D408C6"/>
    <w:rsid w:val="00D437FB"/>
    <w:rsid w:val="00D43F37"/>
    <w:rsid w:val="00D5228E"/>
    <w:rsid w:val="00D57E43"/>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903F5"/>
    <w:rsid w:val="00FA0DCB"/>
    <w:rsid w:val="00FA397E"/>
    <w:rsid w:val="00FE0E37"/>
    <w:rsid w:val="00FE4E5F"/>
    <w:rsid w:val="00FF1570"/>
    <w:rsid w:val="00FF16F7"/>
    <w:rsid w:val="00FF208F"/>
    <w:rsid w:val="00FF7F36"/>
    <w:rsid w:val="01AE52D7"/>
    <w:rsid w:val="02364FD5"/>
    <w:rsid w:val="03EE0DB9"/>
    <w:rsid w:val="04807448"/>
    <w:rsid w:val="04D93D3E"/>
    <w:rsid w:val="057A1105"/>
    <w:rsid w:val="06046F81"/>
    <w:rsid w:val="06EA5517"/>
    <w:rsid w:val="078B3FA5"/>
    <w:rsid w:val="0A0520CA"/>
    <w:rsid w:val="0AEC1BB8"/>
    <w:rsid w:val="0B1C2C4E"/>
    <w:rsid w:val="0B9E0B42"/>
    <w:rsid w:val="0C5518AA"/>
    <w:rsid w:val="0CB64478"/>
    <w:rsid w:val="0D0914B4"/>
    <w:rsid w:val="0DD30748"/>
    <w:rsid w:val="0E21119B"/>
    <w:rsid w:val="0E471A14"/>
    <w:rsid w:val="0EE454F2"/>
    <w:rsid w:val="101E45E3"/>
    <w:rsid w:val="10471E01"/>
    <w:rsid w:val="106175B3"/>
    <w:rsid w:val="115B0AD7"/>
    <w:rsid w:val="115E01B0"/>
    <w:rsid w:val="11906152"/>
    <w:rsid w:val="123306F5"/>
    <w:rsid w:val="12967971"/>
    <w:rsid w:val="12E665F0"/>
    <w:rsid w:val="14467DAB"/>
    <w:rsid w:val="144D4502"/>
    <w:rsid w:val="148128A0"/>
    <w:rsid w:val="14BF50E8"/>
    <w:rsid w:val="15062202"/>
    <w:rsid w:val="156F3D2F"/>
    <w:rsid w:val="168C4DD8"/>
    <w:rsid w:val="173F7F3C"/>
    <w:rsid w:val="17760FE4"/>
    <w:rsid w:val="184738D3"/>
    <w:rsid w:val="18C933CE"/>
    <w:rsid w:val="19046183"/>
    <w:rsid w:val="195E5CEA"/>
    <w:rsid w:val="1A06098F"/>
    <w:rsid w:val="1AE21939"/>
    <w:rsid w:val="1B301C0F"/>
    <w:rsid w:val="1B6A620B"/>
    <w:rsid w:val="1BF62F3E"/>
    <w:rsid w:val="1C8F7C2A"/>
    <w:rsid w:val="1CAD6EAA"/>
    <w:rsid w:val="1D36595B"/>
    <w:rsid w:val="1EE90903"/>
    <w:rsid w:val="1FE62D7D"/>
    <w:rsid w:val="20144ED1"/>
    <w:rsid w:val="2185240A"/>
    <w:rsid w:val="21AC4DF0"/>
    <w:rsid w:val="22492B8D"/>
    <w:rsid w:val="22DF4017"/>
    <w:rsid w:val="22FC52A3"/>
    <w:rsid w:val="23247245"/>
    <w:rsid w:val="236028E7"/>
    <w:rsid w:val="239E46CE"/>
    <w:rsid w:val="23C14C83"/>
    <w:rsid w:val="23ED5E56"/>
    <w:rsid w:val="244E19E7"/>
    <w:rsid w:val="24771A10"/>
    <w:rsid w:val="24CA4044"/>
    <w:rsid w:val="25703A58"/>
    <w:rsid w:val="25ED3FA2"/>
    <w:rsid w:val="27302AC5"/>
    <w:rsid w:val="277D55C1"/>
    <w:rsid w:val="28333E25"/>
    <w:rsid w:val="28A06BA0"/>
    <w:rsid w:val="297A62D3"/>
    <w:rsid w:val="2B7F1CE1"/>
    <w:rsid w:val="2C810651"/>
    <w:rsid w:val="2C8304AF"/>
    <w:rsid w:val="2DFC5F04"/>
    <w:rsid w:val="2E6708EB"/>
    <w:rsid w:val="2F224EB8"/>
    <w:rsid w:val="2F26344C"/>
    <w:rsid w:val="2FB04EF2"/>
    <w:rsid w:val="30287636"/>
    <w:rsid w:val="314B70C5"/>
    <w:rsid w:val="31BF5246"/>
    <w:rsid w:val="31F03981"/>
    <w:rsid w:val="321B233A"/>
    <w:rsid w:val="32466262"/>
    <w:rsid w:val="32D63AA1"/>
    <w:rsid w:val="331B5C25"/>
    <w:rsid w:val="3343770E"/>
    <w:rsid w:val="338240E5"/>
    <w:rsid w:val="33D25CCC"/>
    <w:rsid w:val="34462724"/>
    <w:rsid w:val="34BA7826"/>
    <w:rsid w:val="34E977FE"/>
    <w:rsid w:val="35352CF5"/>
    <w:rsid w:val="35923FCD"/>
    <w:rsid w:val="36202600"/>
    <w:rsid w:val="36E0443D"/>
    <w:rsid w:val="372F0CDD"/>
    <w:rsid w:val="37416F54"/>
    <w:rsid w:val="379608E6"/>
    <w:rsid w:val="38252761"/>
    <w:rsid w:val="38D469C6"/>
    <w:rsid w:val="38E34E35"/>
    <w:rsid w:val="394E3356"/>
    <w:rsid w:val="399633EF"/>
    <w:rsid w:val="39CA3A29"/>
    <w:rsid w:val="39D96273"/>
    <w:rsid w:val="3A4836C0"/>
    <w:rsid w:val="3A8A2791"/>
    <w:rsid w:val="3BBC0E44"/>
    <w:rsid w:val="3C816C1C"/>
    <w:rsid w:val="3D693EE1"/>
    <w:rsid w:val="3EB8166D"/>
    <w:rsid w:val="3F4779E2"/>
    <w:rsid w:val="3F4C6913"/>
    <w:rsid w:val="3F5573A6"/>
    <w:rsid w:val="3F5E5AC4"/>
    <w:rsid w:val="3FD96AAE"/>
    <w:rsid w:val="400076F2"/>
    <w:rsid w:val="411E1797"/>
    <w:rsid w:val="414B5003"/>
    <w:rsid w:val="41512105"/>
    <w:rsid w:val="41D54BC2"/>
    <w:rsid w:val="42950E3C"/>
    <w:rsid w:val="42FC6543"/>
    <w:rsid w:val="4330645B"/>
    <w:rsid w:val="444E0A48"/>
    <w:rsid w:val="446234C9"/>
    <w:rsid w:val="45453A3B"/>
    <w:rsid w:val="45B575C5"/>
    <w:rsid w:val="45E334FD"/>
    <w:rsid w:val="46331089"/>
    <w:rsid w:val="484962D4"/>
    <w:rsid w:val="48A37D81"/>
    <w:rsid w:val="48AD3C44"/>
    <w:rsid w:val="48DE1FB0"/>
    <w:rsid w:val="49604F6F"/>
    <w:rsid w:val="49B76D30"/>
    <w:rsid w:val="4A977DE8"/>
    <w:rsid w:val="4BA95D92"/>
    <w:rsid w:val="4C1E4478"/>
    <w:rsid w:val="4C343344"/>
    <w:rsid w:val="4D417C2A"/>
    <w:rsid w:val="4D912B02"/>
    <w:rsid w:val="4E0453A1"/>
    <w:rsid w:val="4E4E5FAE"/>
    <w:rsid w:val="4F1467A2"/>
    <w:rsid w:val="4F2E740E"/>
    <w:rsid w:val="4F3A131A"/>
    <w:rsid w:val="4F8F60ED"/>
    <w:rsid w:val="4FE71F45"/>
    <w:rsid w:val="51A016E3"/>
    <w:rsid w:val="51E0580E"/>
    <w:rsid w:val="51F50C9C"/>
    <w:rsid w:val="52595983"/>
    <w:rsid w:val="53C22BA4"/>
    <w:rsid w:val="53E62076"/>
    <w:rsid w:val="54471C42"/>
    <w:rsid w:val="54A833E8"/>
    <w:rsid w:val="55807D8B"/>
    <w:rsid w:val="5594063C"/>
    <w:rsid w:val="55EA1FFF"/>
    <w:rsid w:val="55FF4824"/>
    <w:rsid w:val="560F7C40"/>
    <w:rsid w:val="57E12456"/>
    <w:rsid w:val="58D61BA8"/>
    <w:rsid w:val="58EB2EA3"/>
    <w:rsid w:val="59005C12"/>
    <w:rsid w:val="590248AC"/>
    <w:rsid w:val="592A4776"/>
    <w:rsid w:val="592A5F1A"/>
    <w:rsid w:val="592C4CBE"/>
    <w:rsid w:val="5A5F0ACE"/>
    <w:rsid w:val="5AAF5490"/>
    <w:rsid w:val="5ABB4930"/>
    <w:rsid w:val="5AC07759"/>
    <w:rsid w:val="5B4B7952"/>
    <w:rsid w:val="5B7F38BD"/>
    <w:rsid w:val="5BD04DC1"/>
    <w:rsid w:val="5BE84392"/>
    <w:rsid w:val="5C217D50"/>
    <w:rsid w:val="5C5739B2"/>
    <w:rsid w:val="5CE04874"/>
    <w:rsid w:val="5D9B6515"/>
    <w:rsid w:val="5E8231F6"/>
    <w:rsid w:val="5F133DFA"/>
    <w:rsid w:val="5F930D2D"/>
    <w:rsid w:val="5FBB19D4"/>
    <w:rsid w:val="5FDE2EB9"/>
    <w:rsid w:val="5FED63CC"/>
    <w:rsid w:val="62675307"/>
    <w:rsid w:val="628F3A73"/>
    <w:rsid w:val="637E6B32"/>
    <w:rsid w:val="64BB7683"/>
    <w:rsid w:val="65434955"/>
    <w:rsid w:val="65A36461"/>
    <w:rsid w:val="66080AEB"/>
    <w:rsid w:val="667D30AB"/>
    <w:rsid w:val="672671CA"/>
    <w:rsid w:val="672854A7"/>
    <w:rsid w:val="67FA3E9B"/>
    <w:rsid w:val="69062173"/>
    <w:rsid w:val="69D4156A"/>
    <w:rsid w:val="69D6293A"/>
    <w:rsid w:val="6BA37FE2"/>
    <w:rsid w:val="6C432A80"/>
    <w:rsid w:val="6C4F66B2"/>
    <w:rsid w:val="6D594143"/>
    <w:rsid w:val="6F227391"/>
    <w:rsid w:val="6F334ACA"/>
    <w:rsid w:val="6F3F0173"/>
    <w:rsid w:val="6FC05169"/>
    <w:rsid w:val="6FF87DE5"/>
    <w:rsid w:val="70056067"/>
    <w:rsid w:val="70981FE1"/>
    <w:rsid w:val="713372C8"/>
    <w:rsid w:val="71F54FBE"/>
    <w:rsid w:val="72393F54"/>
    <w:rsid w:val="723954E2"/>
    <w:rsid w:val="7257524B"/>
    <w:rsid w:val="72E64944"/>
    <w:rsid w:val="72E949CE"/>
    <w:rsid w:val="73086005"/>
    <w:rsid w:val="732F0C10"/>
    <w:rsid w:val="737741CC"/>
    <w:rsid w:val="73D30FAF"/>
    <w:rsid w:val="73E957EF"/>
    <w:rsid w:val="742F1A15"/>
    <w:rsid w:val="745B0480"/>
    <w:rsid w:val="74A813FE"/>
    <w:rsid w:val="7579035A"/>
    <w:rsid w:val="758E74D4"/>
    <w:rsid w:val="75BE1707"/>
    <w:rsid w:val="75DB3A97"/>
    <w:rsid w:val="77046D6F"/>
    <w:rsid w:val="79202F16"/>
    <w:rsid w:val="793D1490"/>
    <w:rsid w:val="79F42FB5"/>
    <w:rsid w:val="7AED6D54"/>
    <w:rsid w:val="7D0D411D"/>
    <w:rsid w:val="7DFA5397"/>
    <w:rsid w:val="7E10218A"/>
    <w:rsid w:val="7E247AEA"/>
    <w:rsid w:val="7E3D2823"/>
    <w:rsid w:val="7EB953EA"/>
    <w:rsid w:val="7FCB4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40"/>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41"/>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2"/>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3"/>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4"/>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5"/>
    <w:qFormat/>
    <w:uiPriority w:val="0"/>
    <w:pPr>
      <w:keepNext/>
      <w:keepLines/>
      <w:spacing w:before="240" w:after="64" w:line="320" w:lineRule="auto"/>
      <w:ind w:left="1584" w:hanging="1584"/>
      <w:outlineLvl w:val="8"/>
    </w:pPr>
    <w:rPr>
      <w:rFonts w:ascii="Cambria" w:hAnsi="Cambria"/>
      <w:szCs w:val="21"/>
    </w:rPr>
  </w:style>
  <w:style w:type="character" w:default="1" w:styleId="2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3"/>
    <w:unhideWhenUsed/>
    <w:qFormat/>
    <w:uiPriority w:val="99"/>
    <w:rPr>
      <w:b/>
      <w:bCs/>
    </w:rPr>
  </w:style>
  <w:style w:type="paragraph" w:styleId="12">
    <w:name w:val="annotation text"/>
    <w:basedOn w:val="1"/>
    <w:link w:val="48"/>
    <w:semiHidden/>
    <w:qFormat/>
    <w:uiPriority w:val="0"/>
    <w:pPr>
      <w:jc w:val="left"/>
    </w:pPr>
  </w:style>
  <w:style w:type="paragraph" w:styleId="13">
    <w:name w:val="Body Text 3"/>
    <w:basedOn w:val="1"/>
    <w:link w:val="34"/>
    <w:qFormat/>
    <w:uiPriority w:val="0"/>
    <w:pPr>
      <w:spacing w:afterLines="50" w:line="660" w:lineRule="exact"/>
      <w:jc w:val="center"/>
    </w:pPr>
    <w:rPr>
      <w:rFonts w:ascii="黑体" w:hAnsi="宋体" w:eastAsia="黑体"/>
      <w:sz w:val="48"/>
    </w:rPr>
  </w:style>
  <w:style w:type="paragraph" w:styleId="14">
    <w:name w:val="Body Text"/>
    <w:basedOn w:val="1"/>
    <w:unhideWhenUsed/>
    <w:qFormat/>
    <w:uiPriority w:val="99"/>
  </w:style>
  <w:style w:type="paragraph" w:styleId="15">
    <w:name w:val="Body Text Indent"/>
    <w:basedOn w:val="1"/>
    <w:unhideWhenUsed/>
    <w:qFormat/>
    <w:uiPriority w:val="99"/>
    <w:pPr>
      <w:ind w:left="420" w:leftChars="200"/>
    </w:pPr>
  </w:style>
  <w:style w:type="paragraph" w:styleId="16">
    <w:name w:val="Plain Text"/>
    <w:basedOn w:val="1"/>
    <w:link w:val="33"/>
    <w:qFormat/>
    <w:uiPriority w:val="0"/>
    <w:rPr>
      <w:rFonts w:ascii="宋体" w:hAnsi="Courier New" w:cs="Courier New"/>
      <w:szCs w:val="21"/>
    </w:rPr>
  </w:style>
  <w:style w:type="paragraph" w:styleId="17">
    <w:name w:val="Balloon Text"/>
    <w:basedOn w:val="1"/>
    <w:link w:val="38"/>
    <w:unhideWhenUsed/>
    <w:qFormat/>
    <w:uiPriority w:val="99"/>
    <w:rPr>
      <w:sz w:val="18"/>
      <w:szCs w:val="18"/>
    </w:rPr>
  </w:style>
  <w:style w:type="paragraph" w:styleId="18">
    <w:name w:val="footer"/>
    <w:basedOn w:val="1"/>
    <w:link w:val="30"/>
    <w:unhideWhenUsed/>
    <w:qFormat/>
    <w:uiPriority w:val="0"/>
    <w:pPr>
      <w:tabs>
        <w:tab w:val="center" w:pos="4153"/>
        <w:tab w:val="right" w:pos="8306"/>
      </w:tabs>
      <w:snapToGrid w:val="0"/>
      <w:jc w:val="left"/>
    </w:pPr>
    <w:rPr>
      <w:sz w:val="18"/>
      <w:szCs w:val="18"/>
    </w:rPr>
  </w:style>
  <w:style w:type="paragraph" w:styleId="1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4">
    <w:name w:val="Emphasis"/>
    <w:qFormat/>
    <w:uiPriority w:val="0"/>
    <w:rPr>
      <w:i/>
      <w:iCs/>
    </w:rPr>
  </w:style>
  <w:style w:type="character" w:styleId="25">
    <w:name w:val="Hyperlink"/>
    <w:qFormat/>
    <w:uiPriority w:val="0"/>
    <w:rPr>
      <w:color w:val="0000FF"/>
      <w:u w:val="single"/>
    </w:rPr>
  </w:style>
  <w:style w:type="character" w:styleId="26">
    <w:name w:val="annotation reference"/>
    <w:basedOn w:val="23"/>
    <w:unhideWhenUsed/>
    <w:qFormat/>
    <w:uiPriority w:val="99"/>
    <w:rPr>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basedOn w:val="23"/>
    <w:link w:val="19"/>
    <w:qFormat/>
    <w:uiPriority w:val="99"/>
    <w:rPr>
      <w:sz w:val="18"/>
      <w:szCs w:val="18"/>
    </w:rPr>
  </w:style>
  <w:style w:type="character" w:customStyle="1" w:styleId="30">
    <w:name w:val="页脚 Char"/>
    <w:basedOn w:val="23"/>
    <w:link w:val="18"/>
    <w:qFormat/>
    <w:uiPriority w:val="99"/>
    <w:rPr>
      <w:sz w:val="18"/>
      <w:szCs w:val="18"/>
    </w:rPr>
  </w:style>
  <w:style w:type="character" w:customStyle="1" w:styleId="31">
    <w:name w:val="标题 1 Char"/>
    <w:basedOn w:val="23"/>
    <w:link w:val="2"/>
    <w:qFormat/>
    <w:uiPriority w:val="9"/>
    <w:rPr>
      <w:rFonts w:ascii="Times New Roman" w:hAnsi="Times New Roman" w:eastAsia="宋体" w:cs="Times New Roman"/>
      <w:b/>
      <w:bCs/>
      <w:kern w:val="44"/>
      <w:sz w:val="44"/>
      <w:szCs w:val="44"/>
    </w:rPr>
  </w:style>
  <w:style w:type="character" w:customStyle="1" w:styleId="32">
    <w:name w:val="HTML 打字机1"/>
    <w:qFormat/>
    <w:uiPriority w:val="0"/>
    <w:rPr>
      <w:rFonts w:ascii="Courier New" w:hAnsi="Courier New" w:cs="Courier New"/>
      <w:sz w:val="20"/>
      <w:szCs w:val="20"/>
    </w:rPr>
  </w:style>
  <w:style w:type="character" w:customStyle="1" w:styleId="33">
    <w:name w:val="纯文本 Char"/>
    <w:basedOn w:val="23"/>
    <w:link w:val="16"/>
    <w:qFormat/>
    <w:uiPriority w:val="0"/>
    <w:rPr>
      <w:rFonts w:ascii="宋体" w:hAnsi="Courier New" w:eastAsia="宋体" w:cs="Courier New"/>
      <w:szCs w:val="21"/>
    </w:rPr>
  </w:style>
  <w:style w:type="character" w:customStyle="1" w:styleId="34">
    <w:name w:val="正文文本 3 Char"/>
    <w:basedOn w:val="23"/>
    <w:link w:val="13"/>
    <w:qFormat/>
    <w:uiPriority w:val="0"/>
    <w:rPr>
      <w:rFonts w:ascii="黑体" w:hAnsi="宋体" w:eastAsia="黑体" w:cs="Times New Roman"/>
      <w:sz w:val="48"/>
      <w:szCs w:val="24"/>
    </w:rPr>
  </w:style>
  <w:style w:type="paragraph" w:customStyle="1" w:styleId="35">
    <w:name w:val="Char1 Char Char Char"/>
    <w:basedOn w:val="1"/>
    <w:qFormat/>
    <w:uiPriority w:val="0"/>
    <w:pPr>
      <w:numPr>
        <w:ilvl w:val="0"/>
        <w:numId w:val="1"/>
      </w:numPr>
      <w:tabs>
        <w:tab w:val="left" w:pos="420"/>
      </w:tabs>
    </w:pPr>
  </w:style>
  <w:style w:type="paragraph" w:customStyle="1" w:styleId="36">
    <w:name w:val="列出段落1"/>
    <w:basedOn w:val="1"/>
    <w:qFormat/>
    <w:uiPriority w:val="34"/>
    <w:pPr>
      <w:ind w:firstLine="420" w:firstLineChars="200"/>
    </w:pPr>
  </w:style>
  <w:style w:type="character" w:customStyle="1" w:styleId="37">
    <w:name w:val="标题 2 Char"/>
    <w:basedOn w:val="23"/>
    <w:link w:val="3"/>
    <w:semiHidden/>
    <w:qFormat/>
    <w:uiPriority w:val="9"/>
    <w:rPr>
      <w:rFonts w:asciiTheme="majorHAnsi" w:hAnsiTheme="majorHAnsi" w:eastAsiaTheme="majorEastAsia" w:cstheme="majorBidi"/>
      <w:b/>
      <w:bCs/>
      <w:sz w:val="32"/>
      <w:szCs w:val="32"/>
    </w:rPr>
  </w:style>
  <w:style w:type="character" w:customStyle="1" w:styleId="38">
    <w:name w:val="批注框文本 Char"/>
    <w:basedOn w:val="23"/>
    <w:link w:val="17"/>
    <w:semiHidden/>
    <w:qFormat/>
    <w:uiPriority w:val="99"/>
    <w:rPr>
      <w:rFonts w:ascii="Times New Roman" w:hAnsi="Times New Roman" w:eastAsia="宋体" w:cs="Times New Roman"/>
      <w:sz w:val="18"/>
      <w:szCs w:val="18"/>
    </w:rPr>
  </w:style>
  <w:style w:type="character" w:customStyle="1" w:styleId="39">
    <w:name w:val="标题 3 Char"/>
    <w:basedOn w:val="23"/>
    <w:link w:val="4"/>
    <w:qFormat/>
    <w:uiPriority w:val="0"/>
    <w:rPr>
      <w:rFonts w:ascii="Times New Roman" w:hAnsi="Times New Roman" w:eastAsia="宋体" w:cs="Times New Roman"/>
      <w:b/>
      <w:bCs/>
      <w:sz w:val="32"/>
      <w:szCs w:val="32"/>
    </w:rPr>
  </w:style>
  <w:style w:type="character" w:customStyle="1" w:styleId="40">
    <w:name w:val="标题 4 Char"/>
    <w:basedOn w:val="23"/>
    <w:link w:val="5"/>
    <w:qFormat/>
    <w:uiPriority w:val="0"/>
    <w:rPr>
      <w:rFonts w:ascii="Cambria" w:hAnsi="Cambria" w:eastAsia="宋体" w:cs="Times New Roman"/>
      <w:b/>
      <w:bCs/>
      <w:sz w:val="28"/>
      <w:szCs w:val="28"/>
    </w:rPr>
  </w:style>
  <w:style w:type="character" w:customStyle="1" w:styleId="41">
    <w:name w:val="标题 5 Char"/>
    <w:basedOn w:val="23"/>
    <w:link w:val="6"/>
    <w:qFormat/>
    <w:uiPriority w:val="0"/>
    <w:rPr>
      <w:rFonts w:ascii="Times New Roman" w:hAnsi="Times New Roman" w:eastAsia="宋体" w:cs="Times New Roman"/>
      <w:b/>
      <w:bCs/>
      <w:sz w:val="28"/>
      <w:szCs w:val="28"/>
    </w:rPr>
  </w:style>
  <w:style w:type="character" w:customStyle="1" w:styleId="42">
    <w:name w:val="标题 6 Char"/>
    <w:basedOn w:val="23"/>
    <w:link w:val="7"/>
    <w:qFormat/>
    <w:uiPriority w:val="0"/>
    <w:rPr>
      <w:rFonts w:ascii="Cambria" w:hAnsi="Cambria" w:eastAsia="宋体" w:cs="Times New Roman"/>
      <w:b/>
      <w:bCs/>
      <w:sz w:val="24"/>
      <w:szCs w:val="24"/>
    </w:rPr>
  </w:style>
  <w:style w:type="character" w:customStyle="1" w:styleId="43">
    <w:name w:val="标题 7 Char"/>
    <w:basedOn w:val="23"/>
    <w:link w:val="8"/>
    <w:qFormat/>
    <w:uiPriority w:val="0"/>
    <w:rPr>
      <w:rFonts w:ascii="Times New Roman" w:hAnsi="Times New Roman" w:eastAsia="宋体" w:cs="Times New Roman"/>
      <w:b/>
      <w:bCs/>
      <w:sz w:val="24"/>
      <w:szCs w:val="24"/>
    </w:rPr>
  </w:style>
  <w:style w:type="character" w:customStyle="1" w:styleId="44">
    <w:name w:val="标题 8 Char"/>
    <w:basedOn w:val="23"/>
    <w:link w:val="9"/>
    <w:qFormat/>
    <w:uiPriority w:val="0"/>
    <w:rPr>
      <w:rFonts w:ascii="Cambria" w:hAnsi="Cambria" w:eastAsia="宋体" w:cs="Times New Roman"/>
      <w:sz w:val="24"/>
      <w:szCs w:val="24"/>
    </w:rPr>
  </w:style>
  <w:style w:type="character" w:customStyle="1" w:styleId="45">
    <w:name w:val="标题 9 Char"/>
    <w:basedOn w:val="23"/>
    <w:link w:val="10"/>
    <w:qFormat/>
    <w:uiPriority w:val="0"/>
    <w:rPr>
      <w:rFonts w:ascii="Cambria" w:hAnsi="Cambria" w:eastAsia="宋体" w:cs="Times New Roman"/>
      <w:szCs w:val="21"/>
    </w:rPr>
  </w:style>
  <w:style w:type="paragraph" w:customStyle="1" w:styleId="46">
    <w:name w:val="p0"/>
    <w:basedOn w:val="1"/>
    <w:qFormat/>
    <w:uiPriority w:val="0"/>
    <w:pPr>
      <w:widowControl/>
    </w:pPr>
    <w:rPr>
      <w:kern w:val="0"/>
      <w:szCs w:val="21"/>
    </w:rPr>
  </w:style>
  <w:style w:type="paragraph" w:customStyle="1" w:styleId="47">
    <w:name w:val="p15"/>
    <w:basedOn w:val="1"/>
    <w:qFormat/>
    <w:uiPriority w:val="0"/>
    <w:pPr>
      <w:widowControl/>
    </w:pPr>
    <w:rPr>
      <w:kern w:val="0"/>
      <w:szCs w:val="21"/>
    </w:rPr>
  </w:style>
  <w:style w:type="character" w:customStyle="1" w:styleId="48">
    <w:name w:val="批注文字 Char"/>
    <w:basedOn w:val="23"/>
    <w:link w:val="12"/>
    <w:semiHidden/>
    <w:qFormat/>
    <w:uiPriority w:val="0"/>
    <w:rPr>
      <w:rFonts w:ascii="Times New Roman" w:hAnsi="Times New Roman" w:eastAsia="宋体" w:cs="Times New Roman"/>
      <w:szCs w:val="24"/>
    </w:rPr>
  </w:style>
  <w:style w:type="paragraph" w:customStyle="1" w:styleId="49">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50">
    <w:name w:val="_Style 2"/>
    <w:basedOn w:val="1"/>
    <w:qFormat/>
    <w:uiPriority w:val="34"/>
    <w:pPr>
      <w:ind w:firstLine="420" w:firstLineChars="200"/>
    </w:pPr>
    <w:rPr>
      <w:rFonts w:ascii="Calibri" w:hAnsi="Calibri"/>
      <w:szCs w:val="22"/>
    </w:rPr>
  </w:style>
  <w:style w:type="paragraph" w:customStyle="1" w:styleId="51">
    <w:name w:val="列出段落11"/>
    <w:basedOn w:val="1"/>
    <w:qFormat/>
    <w:uiPriority w:val="34"/>
    <w:pPr>
      <w:ind w:firstLine="420" w:firstLineChars="200"/>
    </w:pPr>
    <w:rPr>
      <w:szCs w:val="20"/>
    </w:rPr>
  </w:style>
  <w:style w:type="paragraph" w:customStyle="1" w:styleId="52">
    <w:name w:val="List Paragraph1"/>
    <w:basedOn w:val="1"/>
    <w:qFormat/>
    <w:uiPriority w:val="34"/>
    <w:pPr>
      <w:ind w:firstLine="420" w:firstLineChars="200"/>
    </w:pPr>
    <w:rPr>
      <w:szCs w:val="20"/>
    </w:rPr>
  </w:style>
  <w:style w:type="character" w:customStyle="1" w:styleId="53">
    <w:name w:val="批注主题 Char"/>
    <w:basedOn w:val="48"/>
    <w:link w:val="11"/>
    <w:semiHidden/>
    <w:qFormat/>
    <w:uiPriority w:val="99"/>
    <w:rPr>
      <w:rFonts w:ascii="Times New Roman" w:hAnsi="Times New Roman" w:eastAsia="宋体" w:cs="Times New Roman"/>
      <w:b/>
      <w:bCs/>
      <w:kern w:val="2"/>
      <w:sz w:val="21"/>
      <w:szCs w:val="24"/>
    </w:rPr>
  </w:style>
  <w:style w:type="paragraph" w:customStyle="1" w:styleId="54">
    <w:name w:val="列出段落2"/>
    <w:basedOn w:val="1"/>
    <w:qFormat/>
    <w:uiPriority w:val="34"/>
    <w:pPr>
      <w:ind w:firstLine="420" w:firstLineChars="200"/>
    </w:pPr>
  </w:style>
  <w:style w:type="character" w:customStyle="1" w:styleId="55">
    <w:name w:val="font11"/>
    <w:basedOn w:val="23"/>
    <w:qFormat/>
    <w:uiPriority w:val="0"/>
    <w:rPr>
      <w:rFonts w:hint="eastAsia" w:ascii="宋体" w:hAnsi="宋体" w:eastAsia="宋体" w:cs="宋体"/>
      <w:color w:val="000000"/>
      <w:sz w:val="21"/>
      <w:szCs w:val="21"/>
      <w:u w:val="none"/>
    </w:rPr>
  </w:style>
  <w:style w:type="character" w:customStyle="1" w:styleId="56">
    <w:name w:val="font01"/>
    <w:basedOn w:val="23"/>
    <w:qFormat/>
    <w:uiPriority w:val="0"/>
    <w:rPr>
      <w:rFonts w:hint="default" w:ascii="Times New Roman" w:hAnsi="Times New Roman" w:cs="Times New Roman"/>
      <w:color w:val="000000"/>
      <w:sz w:val="21"/>
      <w:szCs w:val="21"/>
      <w:u w:val="none"/>
    </w:rPr>
  </w:style>
  <w:style w:type="paragraph" w:customStyle="1" w:styleId="57">
    <w:name w:val="404正文 Char"/>
    <w:basedOn w:val="15"/>
    <w:qFormat/>
    <w:uiPriority w:val="0"/>
    <w:pPr>
      <w:spacing w:line="360" w:lineRule="auto"/>
      <w:ind w:left="0" w:leftChars="0" w:firstLine="540" w:firstLineChars="225"/>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2299</Words>
  <Characters>13109</Characters>
  <Lines>109</Lines>
  <Paragraphs>30</Paragraphs>
  <ScaleCrop>false</ScaleCrop>
  <LinksUpToDate>false</LinksUpToDate>
  <CharactersWithSpaces>15378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2017-11-23T03:52:54Z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