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BodyText3"/>
        <w:spacing w:line="600" w:lineRule="exact"/>
        <w:rPr>
          <w:sz w:val="52"/>
          <w:szCs w:val="52"/>
        </w:rPr>
      </w:pPr>
      <w:r w:rsidRPr="00465962">
        <w:rPr>
          <w:rFonts w:hint="eastAsia"/>
          <w:b/>
          <w:bCs/>
          <w:sz w:val="52"/>
          <w:szCs w:val="52"/>
        </w:rPr>
        <w:t>中 山 大 学 新 华 学 院</w:t>
      </w:r>
    </w:p>
    <w:p w:rsidR="005900E5" w:rsidRPr="00465962" w:rsidRDefault="00940617"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金融衍生品</w:t>
      </w:r>
      <w:r w:rsidR="003B5BEA">
        <w:rPr>
          <w:rFonts w:ascii="仿宋" w:eastAsia="仿宋" w:hAnsi="仿宋" w:cs="仿宋" w:hint="eastAsia"/>
          <w:sz w:val="40"/>
          <w:szCs w:val="40"/>
          <w:u w:val="single"/>
        </w:rPr>
        <w:t>实训</w:t>
      </w:r>
      <w:r w:rsidR="005329FE">
        <w:rPr>
          <w:rFonts w:ascii="仿宋" w:eastAsia="仿宋" w:hAnsi="仿宋" w:cs="仿宋"/>
          <w:sz w:val="40"/>
          <w:szCs w:val="40"/>
          <w:u w:val="single"/>
        </w:rPr>
        <w:t>室</w:t>
      </w:r>
      <w:r w:rsidR="00821FDA">
        <w:rPr>
          <w:rFonts w:ascii="仿宋" w:eastAsia="仿宋" w:hAnsi="仿宋" w:cs="仿宋" w:hint="eastAsia"/>
          <w:sz w:val="40"/>
          <w:szCs w:val="40"/>
          <w:u w:val="single"/>
        </w:rPr>
        <w:t>软件</w:t>
      </w:r>
      <w:r w:rsidR="00F079FB">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821FDA"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940617">
        <w:rPr>
          <w:rFonts w:ascii="仿宋_GB2312" w:eastAsia="仿宋_GB2312" w:hAnsi="宋体" w:hint="eastAsia"/>
          <w:b/>
          <w:bCs/>
          <w:sz w:val="28"/>
        </w:rPr>
        <w:t>六</w:t>
      </w:r>
      <w:r w:rsidRPr="00465962">
        <w:rPr>
          <w:rFonts w:ascii="仿宋_GB2312" w:eastAsia="仿宋_GB2312" w:hAnsi="宋体" w:hint="eastAsia"/>
          <w:b/>
          <w:bCs/>
          <w:sz w:val="28"/>
        </w:rPr>
        <w:t>月</w:t>
      </w:r>
      <w:r w:rsidR="00940617">
        <w:rPr>
          <w:rFonts w:ascii="仿宋_GB2312" w:eastAsia="仿宋_GB2312" w:hAnsi="宋体" w:hint="eastAsia"/>
          <w:b/>
          <w:bCs/>
          <w:sz w:val="28"/>
        </w:rPr>
        <w:t>十五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TOC1"/>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Hyperlink"/>
            <w:rFonts w:ascii="黑体" w:eastAsia="黑体" w:hAnsi="黑体" w:hint="eastAsia"/>
            <w:noProof/>
            <w:sz w:val="24"/>
          </w:rPr>
          <w:t>第一部分</w:t>
        </w:r>
        <w:r w:rsidRPr="00066F4F">
          <w:rPr>
            <w:rStyle w:val="Hyperlink"/>
            <w:rFonts w:ascii="黑体" w:eastAsia="黑体" w:hAnsi="黑体"/>
            <w:noProof/>
            <w:sz w:val="24"/>
          </w:rPr>
          <w:t xml:space="preserve"> </w:t>
        </w:r>
        <w:r w:rsidRPr="00066F4F">
          <w:rPr>
            <w:rStyle w:val="Hyperlink"/>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974D25">
          <w:rPr>
            <w:noProof/>
            <w:webHidden/>
            <w:sz w:val="24"/>
          </w:rPr>
          <w:t>2</w:t>
        </w:r>
        <w:r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52" w:history="1">
        <w:r w:rsidR="005900E5" w:rsidRPr="00066F4F">
          <w:rPr>
            <w:rStyle w:val="Hyperlink"/>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974D25">
          <w:rPr>
            <w:noProof/>
            <w:webHidden/>
            <w:sz w:val="24"/>
          </w:rPr>
          <w:t>2</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53" w:history="1">
        <w:r w:rsidR="005900E5" w:rsidRPr="00066F4F">
          <w:rPr>
            <w:rStyle w:val="Hyperlink"/>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974D25">
          <w:rPr>
            <w:noProof/>
            <w:webHidden/>
            <w:sz w:val="24"/>
          </w:rPr>
          <w:t>2</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54" w:history="1">
        <w:r w:rsidR="005900E5" w:rsidRPr="00066F4F">
          <w:rPr>
            <w:rStyle w:val="Hyperlink"/>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974D25">
          <w:rPr>
            <w:noProof/>
            <w:webHidden/>
            <w:sz w:val="24"/>
          </w:rPr>
          <w:t>2</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55" w:history="1">
        <w:r w:rsidR="005900E5" w:rsidRPr="00066F4F">
          <w:rPr>
            <w:rStyle w:val="Hyperlink"/>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974D25">
          <w:rPr>
            <w:noProof/>
            <w:webHidden/>
            <w:sz w:val="24"/>
          </w:rPr>
          <w:t>2</w:t>
        </w:r>
        <w:r w:rsidR="005900E5" w:rsidRPr="00066F4F">
          <w:rPr>
            <w:noProof/>
            <w:webHidden/>
            <w:sz w:val="24"/>
          </w:rPr>
          <w:fldChar w:fldCharType="end"/>
        </w:r>
      </w:hyperlink>
    </w:p>
    <w:p w:rsidR="005900E5" w:rsidRPr="00066F4F" w:rsidRDefault="00290714" w:rsidP="00066F4F">
      <w:pPr>
        <w:pStyle w:val="TOC1"/>
        <w:tabs>
          <w:tab w:val="right" w:leader="dot" w:pos="10014"/>
        </w:tabs>
        <w:spacing w:line="360" w:lineRule="auto"/>
        <w:rPr>
          <w:rFonts w:ascii="Calibri" w:hAnsi="Calibri"/>
          <w:noProof/>
          <w:sz w:val="24"/>
        </w:rPr>
      </w:pPr>
      <w:hyperlink w:anchor="_Toc373500456" w:history="1">
        <w:r w:rsidR="005900E5" w:rsidRPr="00066F4F">
          <w:rPr>
            <w:rStyle w:val="Hyperlink"/>
            <w:rFonts w:ascii="黑体" w:eastAsia="黑体" w:hAnsi="黑体" w:cs="黑体" w:hint="eastAsia"/>
            <w:noProof/>
            <w:sz w:val="24"/>
          </w:rPr>
          <w:t>第二部分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974D25">
          <w:rPr>
            <w:noProof/>
            <w:webHidden/>
            <w:sz w:val="24"/>
          </w:rPr>
          <w:t>3</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57" w:history="1">
        <w:r w:rsidR="005900E5" w:rsidRPr="00066F4F">
          <w:rPr>
            <w:rStyle w:val="Hyperlink"/>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974D25">
          <w:rPr>
            <w:noProof/>
            <w:webHidden/>
            <w:sz w:val="24"/>
          </w:rPr>
          <w:t>3</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58" w:history="1">
        <w:r w:rsidR="005900E5" w:rsidRPr="00066F4F">
          <w:rPr>
            <w:rStyle w:val="Hyperlink"/>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974D25">
          <w:rPr>
            <w:noProof/>
            <w:webHidden/>
            <w:sz w:val="24"/>
          </w:rPr>
          <w:t>4</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59" w:history="1">
        <w:r w:rsidR="005900E5" w:rsidRPr="00066F4F">
          <w:rPr>
            <w:rStyle w:val="Hyperlink"/>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974D25">
          <w:rPr>
            <w:noProof/>
            <w:webHidden/>
            <w:sz w:val="24"/>
          </w:rPr>
          <w:t>5</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60" w:history="1">
        <w:r w:rsidR="005900E5" w:rsidRPr="00066F4F">
          <w:rPr>
            <w:rStyle w:val="Hyperlink"/>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974D25">
          <w:rPr>
            <w:noProof/>
            <w:webHidden/>
            <w:sz w:val="24"/>
          </w:rPr>
          <w:t>7</w:t>
        </w:r>
        <w:r w:rsidR="005900E5" w:rsidRPr="00066F4F">
          <w:rPr>
            <w:noProof/>
            <w:webHidden/>
            <w:sz w:val="24"/>
          </w:rPr>
          <w:fldChar w:fldCharType="end"/>
        </w:r>
      </w:hyperlink>
    </w:p>
    <w:p w:rsidR="005900E5" w:rsidRPr="00066F4F" w:rsidRDefault="00290714" w:rsidP="00066F4F">
      <w:pPr>
        <w:pStyle w:val="TOC1"/>
        <w:tabs>
          <w:tab w:val="right" w:leader="dot" w:pos="10014"/>
        </w:tabs>
        <w:spacing w:line="360" w:lineRule="auto"/>
        <w:rPr>
          <w:rFonts w:ascii="Calibri" w:hAnsi="Calibri"/>
          <w:noProof/>
          <w:sz w:val="24"/>
        </w:rPr>
      </w:pPr>
      <w:hyperlink w:anchor="_Toc373500461" w:history="1">
        <w:r w:rsidR="005900E5" w:rsidRPr="00066F4F">
          <w:rPr>
            <w:rStyle w:val="Hyperlink"/>
            <w:rFonts w:ascii="黑体" w:eastAsia="黑体" w:hAnsi="黑体" w:cs="黑体" w:hint="eastAsia"/>
            <w:noProof/>
            <w:sz w:val="24"/>
          </w:rPr>
          <w:t>第三部分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974D25">
          <w:rPr>
            <w:noProof/>
            <w:webHidden/>
            <w:sz w:val="24"/>
          </w:rPr>
          <w:t>9</w:t>
        </w:r>
        <w:r w:rsidR="005900E5" w:rsidRPr="00066F4F">
          <w:rPr>
            <w:noProof/>
            <w:webHidden/>
            <w:sz w:val="24"/>
          </w:rPr>
          <w:fldChar w:fldCharType="end"/>
        </w:r>
      </w:hyperlink>
    </w:p>
    <w:p w:rsidR="005900E5" w:rsidRPr="00066F4F" w:rsidRDefault="00290714" w:rsidP="00066F4F">
      <w:pPr>
        <w:pStyle w:val="TOC1"/>
        <w:tabs>
          <w:tab w:val="right" w:leader="dot" w:pos="10014"/>
        </w:tabs>
        <w:spacing w:line="360" w:lineRule="auto"/>
        <w:rPr>
          <w:rFonts w:ascii="Calibri" w:hAnsi="Calibri"/>
          <w:noProof/>
          <w:sz w:val="24"/>
        </w:rPr>
      </w:pPr>
      <w:hyperlink w:anchor="_Toc373500462" w:history="1">
        <w:r w:rsidR="005900E5" w:rsidRPr="00066F4F">
          <w:rPr>
            <w:rStyle w:val="Hyperlink"/>
            <w:rFonts w:ascii="黑体" w:eastAsia="黑体" w:hAnsi="黑体" w:cs="黑体" w:hint="eastAsia"/>
            <w:noProof/>
            <w:sz w:val="24"/>
          </w:rPr>
          <w:t>第四部分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974D25">
          <w:rPr>
            <w:noProof/>
            <w:webHidden/>
            <w:sz w:val="24"/>
          </w:rPr>
          <w:t>9</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63" w:history="1">
        <w:r w:rsidR="005900E5" w:rsidRPr="00066F4F">
          <w:rPr>
            <w:rStyle w:val="Hyperlink"/>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974D25">
          <w:rPr>
            <w:noProof/>
            <w:webHidden/>
            <w:sz w:val="24"/>
          </w:rPr>
          <w:t>13</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64" w:history="1">
        <w:r w:rsidR="005900E5" w:rsidRPr="00066F4F">
          <w:rPr>
            <w:rStyle w:val="Hyperlink"/>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974D25">
          <w:rPr>
            <w:noProof/>
            <w:webHidden/>
            <w:sz w:val="24"/>
          </w:rPr>
          <w:t>13</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65" w:history="1">
        <w:r w:rsidR="005900E5" w:rsidRPr="00066F4F">
          <w:rPr>
            <w:rStyle w:val="Hyperlink"/>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974D25">
          <w:rPr>
            <w:noProof/>
            <w:webHidden/>
            <w:sz w:val="24"/>
          </w:rPr>
          <w:t>14</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66" w:history="1">
        <w:r w:rsidR="005900E5" w:rsidRPr="00066F4F">
          <w:rPr>
            <w:rStyle w:val="Hyperlink"/>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974D25">
          <w:rPr>
            <w:noProof/>
            <w:webHidden/>
            <w:sz w:val="24"/>
          </w:rPr>
          <w:t>14</w:t>
        </w:r>
        <w:r w:rsidR="005900E5" w:rsidRPr="00066F4F">
          <w:rPr>
            <w:noProof/>
            <w:webHidden/>
            <w:sz w:val="24"/>
          </w:rPr>
          <w:fldChar w:fldCharType="end"/>
        </w:r>
      </w:hyperlink>
    </w:p>
    <w:p w:rsidR="005900E5" w:rsidRPr="00066F4F" w:rsidRDefault="00290714" w:rsidP="00066F4F">
      <w:pPr>
        <w:pStyle w:val="TOC1"/>
        <w:tabs>
          <w:tab w:val="right" w:leader="dot" w:pos="10014"/>
        </w:tabs>
        <w:spacing w:line="360" w:lineRule="auto"/>
        <w:rPr>
          <w:rFonts w:ascii="Calibri" w:hAnsi="Calibri"/>
          <w:noProof/>
          <w:sz w:val="24"/>
        </w:rPr>
      </w:pPr>
      <w:hyperlink w:anchor="_Toc373500467" w:history="1">
        <w:r w:rsidR="005900E5" w:rsidRPr="00066F4F">
          <w:rPr>
            <w:rStyle w:val="Hyperlink"/>
            <w:rFonts w:ascii="黑体" w:eastAsia="黑体" w:hAnsi="黑体" w:cs="黑体" w:hint="eastAsia"/>
            <w:noProof/>
            <w:sz w:val="24"/>
          </w:rPr>
          <w:t>第五部分</w:t>
        </w:r>
        <w:r w:rsidR="005900E5" w:rsidRPr="00066F4F">
          <w:rPr>
            <w:rStyle w:val="Hyperlink"/>
            <w:rFonts w:ascii="黑体" w:eastAsia="黑体" w:hAnsi="黑体" w:cs="黑体"/>
            <w:noProof/>
            <w:sz w:val="24"/>
          </w:rPr>
          <w:t xml:space="preserve"> </w:t>
        </w:r>
        <w:r w:rsidR="005900E5" w:rsidRPr="00066F4F">
          <w:rPr>
            <w:rStyle w:val="Hyperlink"/>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974D25">
          <w:rPr>
            <w:noProof/>
            <w:webHidden/>
            <w:sz w:val="24"/>
          </w:rPr>
          <w:t>16</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68" w:history="1">
        <w:r w:rsidR="005900E5" w:rsidRPr="00066F4F">
          <w:rPr>
            <w:rStyle w:val="Hyperlink"/>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974D25">
          <w:rPr>
            <w:noProof/>
            <w:webHidden/>
            <w:sz w:val="24"/>
          </w:rPr>
          <w:t>16</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69" w:history="1">
        <w:r w:rsidR="005900E5" w:rsidRPr="00066F4F">
          <w:rPr>
            <w:rStyle w:val="Hyperlink"/>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974D25">
          <w:rPr>
            <w:noProof/>
            <w:webHidden/>
            <w:sz w:val="24"/>
          </w:rPr>
          <w:t>17</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70" w:history="1">
        <w:r w:rsidR="005900E5" w:rsidRPr="00066F4F">
          <w:rPr>
            <w:rStyle w:val="Hyperlink"/>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974D25">
          <w:rPr>
            <w:noProof/>
            <w:webHidden/>
            <w:sz w:val="24"/>
          </w:rPr>
          <w:t>18</w:t>
        </w:r>
        <w:r w:rsidR="005900E5" w:rsidRPr="00066F4F">
          <w:rPr>
            <w:noProof/>
            <w:webHidden/>
            <w:sz w:val="24"/>
          </w:rPr>
          <w:fldChar w:fldCharType="end"/>
        </w:r>
      </w:hyperlink>
    </w:p>
    <w:p w:rsidR="005900E5" w:rsidRPr="00066F4F" w:rsidRDefault="00290714" w:rsidP="00066F4F">
      <w:pPr>
        <w:pStyle w:val="TOC2"/>
        <w:tabs>
          <w:tab w:val="right" w:leader="dot" w:pos="10014"/>
        </w:tabs>
        <w:spacing w:line="360" w:lineRule="auto"/>
        <w:rPr>
          <w:rFonts w:ascii="Calibri" w:hAnsi="Calibri"/>
          <w:noProof/>
          <w:sz w:val="24"/>
        </w:rPr>
      </w:pPr>
      <w:hyperlink w:anchor="_Toc373500471" w:history="1">
        <w:r w:rsidR="005900E5" w:rsidRPr="00066F4F">
          <w:rPr>
            <w:rStyle w:val="Hyperlink"/>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974D25">
          <w:rPr>
            <w:noProof/>
            <w:webHidden/>
            <w:sz w:val="24"/>
          </w:rPr>
          <w:t>19</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Heading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0B1C3D">
        <w:rPr>
          <w:rFonts w:ascii="仿宋_GB2312" w:eastAsia="仿宋_GB2312" w:hAnsi="仿宋_GB2312" w:hint="eastAsia"/>
          <w:sz w:val="28"/>
          <w:u w:val="single"/>
        </w:rPr>
        <w:t>金融衍生品</w:t>
      </w:r>
      <w:r w:rsidR="00824934">
        <w:rPr>
          <w:rFonts w:ascii="仿宋_GB2312" w:eastAsia="仿宋_GB2312" w:hAnsi="仿宋_GB2312" w:hint="eastAsia"/>
          <w:sz w:val="28"/>
          <w:u w:val="single"/>
        </w:rPr>
        <w:t>实训室</w:t>
      </w:r>
      <w:r w:rsidR="008D0C75">
        <w:rPr>
          <w:rFonts w:ascii="仿宋_GB2312" w:eastAsia="仿宋_GB2312" w:hAnsi="仿宋_GB2312" w:hint="eastAsia"/>
          <w:sz w:val="28"/>
          <w:u w:val="single"/>
        </w:rPr>
        <w:t>软件</w:t>
      </w:r>
      <w:r w:rsidR="007E1CEF">
        <w:rPr>
          <w:rFonts w:ascii="仿宋_GB2312" w:eastAsia="仿宋_GB2312" w:hAnsi="仿宋_GB2312" w:hint="eastAsia"/>
          <w:sz w:val="28"/>
        </w:rPr>
        <w:t>采购</w:t>
      </w:r>
      <w:r w:rsidRPr="00465962">
        <w:rPr>
          <w:rFonts w:ascii="仿宋_GB2312" w:eastAsia="仿宋_GB2312" w:hAnsi="仿宋_GB2312" w:hint="eastAsia"/>
          <w:sz w:val="28"/>
        </w:rPr>
        <w:t>计划，拟通过邀请招标的方式选定投标单位，现邀请贵公司参加该项目的投标。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0B1C3D">
        <w:rPr>
          <w:rFonts w:ascii="仿宋_GB2312" w:eastAsia="仿宋_GB2312" w:hAnsi="仿宋_GB2312" w:hint="eastAsia"/>
          <w:sz w:val="28"/>
          <w:u w:val="single"/>
        </w:rPr>
        <w:t>金融衍生品</w:t>
      </w:r>
      <w:r w:rsidR="00856523">
        <w:rPr>
          <w:rFonts w:ascii="仿宋_GB2312" w:eastAsia="仿宋_GB2312" w:hAnsi="仿宋_GB2312" w:hint="eastAsia"/>
          <w:sz w:val="28"/>
          <w:u w:val="single"/>
        </w:rPr>
        <w:t>实训室</w:t>
      </w:r>
      <w:r w:rsidR="00C629AB">
        <w:rPr>
          <w:rFonts w:ascii="仿宋_GB2312" w:eastAsia="仿宋_GB2312" w:hAnsi="仿宋_GB2312" w:hint="eastAsia"/>
          <w:sz w:val="28"/>
          <w:u w:val="single"/>
        </w:rPr>
        <w:t>软件</w:t>
      </w:r>
      <w:r w:rsidR="007E1CEF">
        <w:rPr>
          <w:rFonts w:ascii="仿宋_GB2312" w:eastAsia="仿宋_GB2312" w:hAnsi="仿宋_GB2312" w:hint="eastAsia"/>
          <w:sz w:val="28"/>
          <w:u w:val="single"/>
        </w:rPr>
        <w:t>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0B1C3D">
        <w:rPr>
          <w:rFonts w:ascii="仿宋_GB2312" w:eastAsia="仿宋_GB2312" w:hAnsi="仿宋_GB2312" w:hint="eastAsia"/>
          <w:b/>
          <w:bCs/>
          <w:sz w:val="28"/>
        </w:rPr>
        <w:t>7</w:t>
      </w:r>
      <w:r w:rsidRPr="00465962">
        <w:rPr>
          <w:rFonts w:ascii="仿宋_GB2312" w:eastAsia="仿宋_GB2312" w:hAnsi="仿宋_GB2312" w:hint="eastAsia"/>
          <w:b/>
          <w:bCs/>
          <w:sz w:val="28"/>
        </w:rPr>
        <w:t>月</w:t>
      </w:r>
      <w:r w:rsidR="007A784A">
        <w:rPr>
          <w:rFonts w:ascii="仿宋_GB2312" w:eastAsia="仿宋_GB2312" w:hAnsi="仿宋_GB2312" w:hint="eastAsia"/>
          <w:b/>
          <w:bCs/>
          <w:sz w:val="28"/>
        </w:rPr>
        <w:t>13</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东莞市麻涌镇沿江西一路7号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投标人需按照招标文件修改文件的要求参与投标，投标人没有作出实质性响应可能导致其投标被拒绝。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如果投标人没有按照招标文件要求提交全部资料或者投标文件没有对招标文件在各方面都作出实质性响应，可能导致其投标被拒绝。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投标文件内容应无涂改和行间插字，如因招标人修改招标文件造成的投标文件涂（删）改，应在涂（删）改处加盖公章，投标代理人签名。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w:t>
      </w:r>
      <w:r w:rsidRPr="00465962">
        <w:rPr>
          <w:rFonts w:ascii="仿宋" w:eastAsia="仿宋" w:hAnsi="仿宋" w:cs="仿宋" w:hint="eastAsia"/>
          <w:sz w:val="28"/>
          <w:szCs w:val="28"/>
        </w:rPr>
        <w:lastRenderedPageBreak/>
        <w:t>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投标报价应包含所有必要设备、随机零配件、标配工具、</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ListParagraph"/>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E6082D" w:rsidRPr="000057E8" w:rsidRDefault="00E6082D" w:rsidP="00E6082D">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w:t>
      </w:r>
      <w:r>
        <w:rPr>
          <w:rFonts w:ascii="仿宋" w:eastAsia="仿宋" w:hAnsi="仿宋" w:cs="宋体" w:hint="eastAsia"/>
          <w:color w:val="000000"/>
          <w:kern w:val="0"/>
          <w:sz w:val="24"/>
        </w:rPr>
        <w:t>实验室地点：</w:t>
      </w:r>
      <w:r w:rsidRPr="00654034">
        <w:rPr>
          <w:rFonts w:ascii="仿宋" w:eastAsia="仿宋" w:hAnsi="仿宋" w:cs="宋体" w:hint="eastAsia"/>
          <w:color w:val="000000"/>
          <w:kern w:val="0"/>
          <w:sz w:val="24"/>
        </w:rPr>
        <w:t>东莞校区实验2号楼5楼A</w:t>
      </w:r>
      <w:r>
        <w:rPr>
          <w:rFonts w:ascii="仿宋" w:eastAsia="仿宋" w:hAnsi="仿宋" w:cs="宋体" w:hint="eastAsia"/>
          <w:color w:val="000000"/>
          <w:kern w:val="0"/>
          <w:sz w:val="24"/>
        </w:rPr>
        <w:t>50</w:t>
      </w:r>
      <w:r w:rsidR="0078108E">
        <w:rPr>
          <w:rFonts w:ascii="仿宋" w:eastAsia="仿宋" w:hAnsi="仿宋" w:cs="宋体" w:hint="eastAsia"/>
          <w:color w:val="000000"/>
          <w:kern w:val="0"/>
          <w:sz w:val="24"/>
        </w:rPr>
        <w:t>6</w:t>
      </w:r>
      <w:r w:rsidRPr="00654034">
        <w:rPr>
          <w:rFonts w:ascii="仿宋" w:eastAsia="仿宋" w:hAnsi="仿宋" w:cs="宋体" w:hint="eastAsia"/>
          <w:color w:val="000000"/>
          <w:kern w:val="0"/>
          <w:sz w:val="24"/>
        </w:rPr>
        <w:t>。</w:t>
      </w:r>
      <w:r w:rsidRPr="000057E8">
        <w:rPr>
          <w:rFonts w:ascii="仿宋" w:eastAsia="仿宋" w:hAnsi="仿宋" w:cs="宋体" w:hint="eastAsia"/>
          <w:color w:val="000000"/>
          <w:kern w:val="0"/>
          <w:sz w:val="24"/>
        </w:rPr>
        <w:t>如</w:t>
      </w:r>
      <w:r w:rsidRPr="000057E8">
        <w:rPr>
          <w:rFonts w:ascii="仿宋" w:eastAsia="仿宋" w:hAnsi="仿宋" w:cs="宋体"/>
          <w:color w:val="000000"/>
          <w:kern w:val="0"/>
          <w:sz w:val="24"/>
        </w:rPr>
        <w:t>需</w:t>
      </w:r>
      <w:r w:rsidRPr="000057E8">
        <w:rPr>
          <w:rFonts w:ascii="仿宋" w:eastAsia="仿宋" w:hAnsi="仿宋" w:cs="宋体" w:hint="eastAsia"/>
          <w:color w:val="000000"/>
          <w:kern w:val="0"/>
          <w:sz w:val="24"/>
        </w:rPr>
        <w:t>了解</w:t>
      </w:r>
      <w:r w:rsidRPr="000057E8">
        <w:rPr>
          <w:rFonts w:ascii="仿宋" w:eastAsia="仿宋" w:hAnsi="仿宋" w:cs="宋体"/>
          <w:color w:val="000000"/>
          <w:kern w:val="0"/>
          <w:sz w:val="24"/>
        </w:rPr>
        <w:t>更详细</w:t>
      </w:r>
      <w:r w:rsidRPr="000057E8">
        <w:rPr>
          <w:rFonts w:ascii="仿宋" w:eastAsia="仿宋" w:hAnsi="仿宋" w:cs="宋体" w:hint="eastAsia"/>
          <w:color w:val="000000"/>
          <w:kern w:val="0"/>
          <w:sz w:val="24"/>
        </w:rPr>
        <w:t>的</w:t>
      </w:r>
      <w:r w:rsidRPr="000057E8">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Pr>
          <w:rFonts w:ascii="仿宋" w:eastAsia="仿宋" w:hAnsi="仿宋" w:cs="宋体" w:hint="eastAsia"/>
          <w:color w:val="000000"/>
          <w:kern w:val="0"/>
          <w:sz w:val="24"/>
        </w:rPr>
        <w:t>杜碧莹，020-87211733,13560029131</w:t>
      </w:r>
      <w:r w:rsidRPr="000057E8">
        <w:rPr>
          <w:rFonts w:ascii="仿宋" w:eastAsia="仿宋" w:hAnsi="仿宋" w:cs="宋体" w:hint="eastAsia"/>
          <w:color w:val="000000"/>
          <w:kern w:val="0"/>
          <w:sz w:val="24"/>
        </w:rPr>
        <w:t>）</w:t>
      </w:r>
    </w:p>
    <w:p w:rsidR="00063730" w:rsidRPr="00E6082D" w:rsidRDefault="00063730" w:rsidP="00063730">
      <w:pPr>
        <w:jc w:val="left"/>
        <w:rPr>
          <w:rFonts w:ascii="仿宋" w:eastAsia="仿宋" w:hAnsi="仿宋" w:cs="宋体"/>
          <w:color w:val="000000"/>
          <w:kern w:val="0"/>
          <w:sz w:val="24"/>
        </w:rPr>
      </w:pPr>
    </w:p>
    <w:p w:rsidR="00A92484" w:rsidRDefault="00C1380F" w:rsidP="005B10B8">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软件</w:t>
      </w:r>
      <w:r w:rsidR="00A92484" w:rsidRPr="00A92484">
        <w:rPr>
          <w:rFonts w:ascii="仿宋" w:eastAsia="仿宋" w:hAnsi="仿宋" w:cs="宋体" w:hint="eastAsia"/>
          <w:b/>
          <w:color w:val="000000"/>
          <w:kern w:val="0"/>
          <w:sz w:val="28"/>
          <w:szCs w:val="28"/>
        </w:rPr>
        <w:t>清单</w:t>
      </w:r>
      <w:r>
        <w:rPr>
          <w:rFonts w:ascii="仿宋" w:eastAsia="仿宋" w:hAnsi="仿宋" w:cs="宋体" w:hint="eastAsia"/>
          <w:b/>
          <w:color w:val="000000"/>
          <w:kern w:val="0"/>
          <w:sz w:val="28"/>
          <w:szCs w:val="28"/>
        </w:rPr>
        <w:t>：</w:t>
      </w:r>
    </w:p>
    <w:tbl>
      <w:tblPr>
        <w:tblW w:w="10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081"/>
        <w:gridCol w:w="6848"/>
        <w:gridCol w:w="850"/>
        <w:gridCol w:w="1090"/>
      </w:tblGrid>
      <w:tr w:rsidR="0015783D" w:rsidRPr="0015783D" w:rsidTr="005712DC">
        <w:trPr>
          <w:trHeight w:val="441"/>
          <w:jc w:val="center"/>
        </w:trPr>
        <w:tc>
          <w:tcPr>
            <w:tcW w:w="675" w:type="dxa"/>
            <w:shd w:val="clear" w:color="auto" w:fill="8DB3E2"/>
            <w:vAlign w:val="center"/>
          </w:tcPr>
          <w:p w:rsidR="0015783D" w:rsidRPr="0015783D" w:rsidRDefault="0015783D" w:rsidP="00821E88">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081" w:type="dxa"/>
            <w:shd w:val="clear" w:color="auto" w:fill="8DB3E2"/>
            <w:vAlign w:val="center"/>
          </w:tcPr>
          <w:p w:rsidR="0015783D" w:rsidRPr="0015783D" w:rsidRDefault="0015783D" w:rsidP="00821E88">
            <w:pPr>
              <w:jc w:val="center"/>
              <w:rPr>
                <w:rFonts w:asciiTheme="minorEastAsia" w:eastAsiaTheme="minorEastAsia" w:hAnsiTheme="minorEastAsia"/>
                <w:szCs w:val="21"/>
              </w:rPr>
            </w:pPr>
            <w:r w:rsidRPr="0015783D">
              <w:rPr>
                <w:rFonts w:asciiTheme="minorEastAsia" w:eastAsiaTheme="minorEastAsia" w:hAnsiTheme="minorEastAsia" w:hint="eastAsia"/>
                <w:szCs w:val="21"/>
              </w:rPr>
              <w:t>产品名称</w:t>
            </w:r>
          </w:p>
        </w:tc>
        <w:tc>
          <w:tcPr>
            <w:tcW w:w="6848" w:type="dxa"/>
            <w:shd w:val="clear" w:color="auto" w:fill="8DB3E2"/>
            <w:vAlign w:val="center"/>
          </w:tcPr>
          <w:p w:rsidR="0015783D" w:rsidRPr="0015783D" w:rsidRDefault="0015783D" w:rsidP="00821E88">
            <w:pPr>
              <w:jc w:val="center"/>
              <w:rPr>
                <w:rFonts w:asciiTheme="minorEastAsia" w:eastAsiaTheme="minorEastAsia" w:hAnsiTheme="minorEastAsia"/>
                <w:szCs w:val="21"/>
              </w:rPr>
            </w:pPr>
            <w:r w:rsidRPr="0015783D">
              <w:rPr>
                <w:rFonts w:asciiTheme="minorEastAsia" w:eastAsiaTheme="minorEastAsia" w:hAnsiTheme="minorEastAsia" w:hint="eastAsia"/>
                <w:szCs w:val="21"/>
              </w:rPr>
              <w:t>规格型号</w:t>
            </w:r>
          </w:p>
        </w:tc>
        <w:tc>
          <w:tcPr>
            <w:tcW w:w="850" w:type="dxa"/>
            <w:shd w:val="clear" w:color="auto" w:fill="8DB3E2"/>
            <w:vAlign w:val="center"/>
          </w:tcPr>
          <w:p w:rsidR="0015783D" w:rsidRPr="0015783D" w:rsidRDefault="0015783D" w:rsidP="00821E88">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090" w:type="dxa"/>
            <w:shd w:val="clear" w:color="auto" w:fill="8DB3E2"/>
            <w:vAlign w:val="center"/>
          </w:tcPr>
          <w:p w:rsidR="0015783D" w:rsidRPr="0015783D" w:rsidRDefault="0015783D" w:rsidP="00821E88">
            <w:pPr>
              <w:jc w:val="center"/>
              <w:rPr>
                <w:rFonts w:asciiTheme="minorEastAsia" w:eastAsiaTheme="minorEastAsia" w:hAnsiTheme="minorEastAsia"/>
                <w:szCs w:val="21"/>
              </w:rPr>
            </w:pPr>
            <w:r w:rsidRPr="0015783D">
              <w:rPr>
                <w:rFonts w:asciiTheme="minorEastAsia" w:eastAsiaTheme="minorEastAsia" w:hAnsiTheme="minorEastAsia" w:hint="eastAsia"/>
                <w:szCs w:val="21"/>
              </w:rPr>
              <w:t>备注</w:t>
            </w:r>
          </w:p>
        </w:tc>
      </w:tr>
      <w:tr w:rsidR="0015783D" w:rsidRPr="0015783D" w:rsidTr="005712DC">
        <w:trPr>
          <w:trHeight w:val="689"/>
          <w:jc w:val="center"/>
        </w:trPr>
        <w:tc>
          <w:tcPr>
            <w:tcW w:w="675" w:type="dxa"/>
            <w:vAlign w:val="center"/>
          </w:tcPr>
          <w:p w:rsidR="0015783D" w:rsidRPr="0015783D" w:rsidRDefault="006D72D7" w:rsidP="00821E8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081" w:type="dxa"/>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实验室管理平台</w:t>
            </w:r>
          </w:p>
        </w:tc>
        <w:tc>
          <w:tcPr>
            <w:tcW w:w="6848" w:type="dxa"/>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实验室管理平台</w:t>
            </w:r>
            <w:r w:rsidRPr="0015783D">
              <w:rPr>
                <w:rFonts w:asciiTheme="minorEastAsia" w:eastAsiaTheme="minorEastAsia" w:hAnsiTheme="minorEastAsia"/>
                <w:szCs w:val="21"/>
              </w:rPr>
              <w:t>是一款基于云计算的项目管理系统，专业为国内高校提供安全高效的项目信息管理解决方案。能够实时掌控项</w:t>
            </w:r>
            <w:r w:rsidRPr="0015783D">
              <w:rPr>
                <w:rFonts w:asciiTheme="minorEastAsia" w:eastAsiaTheme="minorEastAsia" w:hAnsiTheme="minorEastAsia" w:hint="eastAsia"/>
                <w:szCs w:val="21"/>
              </w:rPr>
              <w:t>实训</w:t>
            </w:r>
            <w:r w:rsidRPr="0015783D">
              <w:rPr>
                <w:rFonts w:asciiTheme="minorEastAsia" w:eastAsiaTheme="minorEastAsia" w:hAnsiTheme="minorEastAsia"/>
                <w:szCs w:val="21"/>
              </w:rPr>
              <w:t>项目进度，了解实训项目信息，控制项目支出，从而达到缩短项目周期、提高项目质量、降低项目成本的目的；不同于单机版的项目管理软件，借助平台提供的强大知识积累分享，可以随时借鉴实训项目流程、经验教训、会议文档、沟通记录等过程资产，集中存储，统一管理</w:t>
            </w:r>
            <w:r w:rsidRPr="0015783D">
              <w:rPr>
                <w:rFonts w:asciiTheme="minorEastAsia" w:eastAsiaTheme="minorEastAsia" w:hAnsiTheme="minorEastAsia" w:hint="eastAsia"/>
                <w:szCs w:val="21"/>
              </w:rPr>
              <w:t>、</w:t>
            </w:r>
            <w:r w:rsidRPr="0015783D">
              <w:rPr>
                <w:rFonts w:asciiTheme="minorEastAsia" w:eastAsiaTheme="minorEastAsia" w:hAnsiTheme="minorEastAsia"/>
                <w:szCs w:val="21"/>
              </w:rPr>
              <w:t>为新项目的启动提供数据参考。</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结构: 多层式（N-tire）结构采用Microsoft.net,并支持行业标准的数据库技术</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可配置性: 灵活适用于不同实验室类型，无需昂贵的开发编码</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功能性: 性能强大、稳定、可靠，保障大规模部署项目的成功</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整合: 提供与不同</w:t>
            </w:r>
            <w:r w:rsidRPr="0015783D">
              <w:rPr>
                <w:rFonts w:asciiTheme="minorEastAsia" w:eastAsiaTheme="minorEastAsia" w:hAnsiTheme="minorEastAsia" w:hint="eastAsia"/>
                <w:szCs w:val="21"/>
              </w:rPr>
              <w:t>教学</w:t>
            </w:r>
            <w:r w:rsidRPr="0015783D">
              <w:rPr>
                <w:rFonts w:asciiTheme="minorEastAsia" w:eastAsiaTheme="minorEastAsia" w:hAnsiTheme="minorEastAsia"/>
                <w:szCs w:val="21"/>
              </w:rPr>
              <w:t>系统和企业应用软件整合所需的网络服务</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可扩展性</w:t>
            </w:r>
            <w:r w:rsidRPr="0015783D">
              <w:rPr>
                <w:rFonts w:asciiTheme="minorEastAsia" w:eastAsiaTheme="minorEastAsia" w:hAnsiTheme="minorEastAsia" w:hint="eastAsia"/>
                <w:szCs w:val="21"/>
              </w:rPr>
              <w:t>：</w:t>
            </w:r>
            <w:r w:rsidRPr="0015783D">
              <w:rPr>
                <w:rFonts w:asciiTheme="minorEastAsia" w:eastAsiaTheme="minorEastAsia" w:hAnsiTheme="minorEastAsia"/>
                <w:szCs w:val="21"/>
              </w:rPr>
              <w:t> </w:t>
            </w:r>
            <w:r w:rsidRPr="0015783D">
              <w:rPr>
                <w:rFonts w:asciiTheme="minorEastAsia" w:eastAsiaTheme="minorEastAsia" w:hAnsiTheme="minorEastAsia" w:hint="eastAsia"/>
                <w:szCs w:val="21"/>
              </w:rPr>
              <w:t>提供</w:t>
            </w:r>
            <w:r w:rsidRPr="0015783D">
              <w:rPr>
                <w:rFonts w:asciiTheme="minorEastAsia" w:eastAsiaTheme="minorEastAsia" w:hAnsiTheme="minorEastAsia"/>
                <w:szCs w:val="21"/>
              </w:rPr>
              <w:t>二次开发提供多种语言版本</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报告: 灵活的报告，可供实验室外的临时用户访问相关数据</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可扩展性: 能够支持不断增加的众多用户和实验室</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安全性: 精密的访问控制，能够确保整个组织内数据的安全访问</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标准: 行业标准的工具、语言和数据库</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技术支持: 在世界范围内提供多种语言支持</w:t>
            </w:r>
          </w:p>
          <w:p w:rsidR="0015783D" w:rsidRPr="0015783D" w:rsidRDefault="0015783D" w:rsidP="0015783D">
            <w:pPr>
              <w:widowControl/>
              <w:shd w:val="clear" w:color="auto" w:fill="FFFFFF"/>
              <w:spacing w:line="330" w:lineRule="atLeast"/>
              <w:jc w:val="left"/>
              <w:rPr>
                <w:rFonts w:asciiTheme="minorEastAsia" w:eastAsiaTheme="minorEastAsia" w:hAnsiTheme="minorEastAsia"/>
                <w:szCs w:val="21"/>
              </w:rPr>
            </w:pPr>
            <w:r w:rsidRPr="0015783D">
              <w:rPr>
                <w:rFonts w:asciiTheme="minorEastAsia" w:eastAsiaTheme="minorEastAsia" w:hAnsiTheme="minorEastAsia"/>
                <w:szCs w:val="21"/>
              </w:rPr>
              <w:t>•  用户访问: 从网络浏览器和桌面客户端可以完全访问使用全部功能</w:t>
            </w:r>
          </w:p>
        </w:tc>
        <w:tc>
          <w:tcPr>
            <w:tcW w:w="850" w:type="dxa"/>
            <w:vAlign w:val="center"/>
          </w:tcPr>
          <w:p w:rsidR="0015783D" w:rsidRPr="0015783D" w:rsidRDefault="006D72D7" w:rsidP="006D72D7">
            <w:pPr>
              <w:jc w:val="center"/>
              <w:rPr>
                <w:rFonts w:asciiTheme="minorEastAsia" w:eastAsiaTheme="minorEastAsia" w:hAnsiTheme="minorEastAsia"/>
                <w:szCs w:val="21"/>
              </w:rPr>
            </w:pPr>
            <w:r>
              <w:rPr>
                <w:rFonts w:asciiTheme="minorEastAsia" w:eastAsiaTheme="minorEastAsia" w:hAnsiTheme="minorEastAsia" w:hint="eastAsia"/>
                <w:szCs w:val="21"/>
              </w:rPr>
              <w:t>1套</w:t>
            </w:r>
          </w:p>
        </w:tc>
        <w:tc>
          <w:tcPr>
            <w:tcW w:w="1090" w:type="dxa"/>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对整个实验中心进行管理</w:t>
            </w:r>
            <w:r>
              <w:rPr>
                <w:rFonts w:asciiTheme="minorEastAsia" w:eastAsiaTheme="minorEastAsia" w:hAnsiTheme="minorEastAsia" w:hint="eastAsia"/>
                <w:szCs w:val="21"/>
              </w:rPr>
              <w:t>；</w:t>
            </w:r>
          </w:p>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三年免费更新服务</w:t>
            </w:r>
          </w:p>
        </w:tc>
      </w:tr>
      <w:tr w:rsidR="0015783D" w:rsidRPr="0015783D" w:rsidTr="005712DC">
        <w:trPr>
          <w:trHeight w:val="689"/>
          <w:jc w:val="center"/>
        </w:trPr>
        <w:tc>
          <w:tcPr>
            <w:tcW w:w="675" w:type="dxa"/>
            <w:vAlign w:val="center"/>
          </w:tcPr>
          <w:p w:rsidR="0015783D" w:rsidRPr="0015783D" w:rsidRDefault="00020DE3" w:rsidP="00821E8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081" w:type="dxa"/>
            <w:vAlign w:val="center"/>
          </w:tcPr>
          <w:p w:rsidR="0015783D" w:rsidRPr="0015783D" w:rsidRDefault="00C342AB" w:rsidP="0015783D">
            <w:pPr>
              <w:jc w:val="left"/>
              <w:rPr>
                <w:rFonts w:asciiTheme="minorEastAsia" w:eastAsiaTheme="minorEastAsia" w:hAnsiTheme="minorEastAsia"/>
                <w:szCs w:val="21"/>
              </w:rPr>
            </w:pPr>
            <w:r w:rsidRPr="00C342AB">
              <w:rPr>
                <w:rFonts w:asciiTheme="minorEastAsia" w:eastAsiaTheme="minorEastAsia" w:hAnsiTheme="minorEastAsia" w:hint="eastAsia"/>
                <w:szCs w:val="21"/>
              </w:rPr>
              <w:t>证券投资实务教学实训平台v3.0</w:t>
            </w:r>
          </w:p>
        </w:tc>
        <w:tc>
          <w:tcPr>
            <w:tcW w:w="6848" w:type="dxa"/>
            <w:vAlign w:val="center"/>
          </w:tcPr>
          <w:p w:rsidR="0015783D" w:rsidRPr="0015783D" w:rsidRDefault="0015783D" w:rsidP="0015783D">
            <w:pPr>
              <w:numPr>
                <w:ilvl w:val="0"/>
                <w:numId w:val="23"/>
              </w:numPr>
              <w:spacing w:line="276" w:lineRule="auto"/>
              <w:jc w:val="left"/>
              <w:rPr>
                <w:rFonts w:asciiTheme="minorEastAsia" w:eastAsiaTheme="minorEastAsia" w:hAnsiTheme="minorEastAsia"/>
                <w:szCs w:val="21"/>
              </w:rPr>
            </w:pPr>
            <w:r w:rsidRPr="0015783D">
              <w:rPr>
                <w:rFonts w:asciiTheme="minorEastAsia" w:eastAsiaTheme="minorEastAsia" w:hAnsiTheme="minorEastAsia" w:hint="eastAsia"/>
                <w:szCs w:val="21"/>
              </w:rPr>
              <w:t>B/S结构软件，无须安装客户端软件；</w:t>
            </w:r>
          </w:p>
          <w:p w:rsidR="0015783D" w:rsidRPr="0015783D" w:rsidRDefault="0015783D" w:rsidP="0015783D">
            <w:pPr>
              <w:numPr>
                <w:ilvl w:val="0"/>
                <w:numId w:val="23"/>
              </w:numPr>
              <w:spacing w:line="276" w:lineRule="auto"/>
              <w:jc w:val="left"/>
              <w:rPr>
                <w:rFonts w:asciiTheme="minorEastAsia" w:eastAsiaTheme="minorEastAsia" w:hAnsiTheme="minorEastAsia"/>
                <w:szCs w:val="21"/>
              </w:rPr>
            </w:pPr>
            <w:r w:rsidRPr="0015783D">
              <w:rPr>
                <w:rFonts w:asciiTheme="minorEastAsia" w:eastAsiaTheme="minorEastAsia" w:hAnsiTheme="minorEastAsia" w:hint="eastAsia"/>
                <w:szCs w:val="21"/>
              </w:rPr>
              <w:t>系统应以设置实训任务为驱动的实现方式;</w:t>
            </w:r>
          </w:p>
          <w:p w:rsidR="0015783D" w:rsidRPr="0015783D" w:rsidRDefault="0015783D" w:rsidP="0015783D">
            <w:pPr>
              <w:numPr>
                <w:ilvl w:val="0"/>
                <w:numId w:val="23"/>
              </w:numPr>
              <w:spacing w:line="276" w:lineRule="auto"/>
              <w:jc w:val="left"/>
              <w:rPr>
                <w:rFonts w:asciiTheme="minorEastAsia" w:eastAsiaTheme="minorEastAsia" w:hAnsiTheme="minorEastAsia"/>
                <w:szCs w:val="21"/>
              </w:rPr>
            </w:pPr>
            <w:r w:rsidRPr="0015783D">
              <w:rPr>
                <w:rFonts w:asciiTheme="minorEastAsia" w:eastAsiaTheme="minorEastAsia" w:hAnsiTheme="minorEastAsia" w:hint="eastAsia"/>
                <w:szCs w:val="21"/>
              </w:rPr>
              <w:t>系统摆脱传统板书或单纯教学课件教学方式，学生通过本系统可以实现理论结合实操训练，教中学、学中做，通过实际操作即时的加深对理论知识的理解，教师也可以通过本系统灵活的组织教学内容、突出课程知识点;</w:t>
            </w:r>
          </w:p>
          <w:p w:rsidR="0015783D" w:rsidRPr="0015783D" w:rsidRDefault="0015783D" w:rsidP="0015783D">
            <w:pPr>
              <w:numPr>
                <w:ilvl w:val="0"/>
                <w:numId w:val="23"/>
              </w:numPr>
              <w:spacing w:line="276" w:lineRule="auto"/>
              <w:jc w:val="left"/>
              <w:rPr>
                <w:rFonts w:asciiTheme="minorEastAsia" w:eastAsiaTheme="minorEastAsia" w:hAnsiTheme="minorEastAsia"/>
                <w:szCs w:val="21"/>
              </w:rPr>
            </w:pPr>
            <w:r w:rsidRPr="0015783D">
              <w:rPr>
                <w:rFonts w:asciiTheme="minorEastAsia" w:eastAsiaTheme="minorEastAsia" w:hAnsiTheme="minorEastAsia" w:cs="宋体" w:hint="eastAsia"/>
                <w:b/>
                <w:szCs w:val="21"/>
                <w:lang w:val="zh-CN"/>
              </w:rPr>
              <w:t>*</w:t>
            </w:r>
            <w:r w:rsidRPr="0015783D">
              <w:rPr>
                <w:rFonts w:asciiTheme="minorEastAsia" w:eastAsiaTheme="minorEastAsia" w:hAnsiTheme="minorEastAsia" w:cs="宋体" w:hint="eastAsia"/>
                <w:szCs w:val="21"/>
                <w:lang w:val="zh-CN"/>
              </w:rPr>
              <w:t>系统功能应包含签到考勤管理、实训管理、考勤管理、案例管理、班级管理、批改作业、课程管理、题库管理、布置作业、登录限制、公告管理、学生管理、角色管理、信息查询、成绩管理、交流互动、课程考试、实训任务等模块</w:t>
            </w:r>
          </w:p>
          <w:p w:rsidR="0015783D" w:rsidRPr="0015783D" w:rsidRDefault="0015783D" w:rsidP="0015783D">
            <w:pPr>
              <w:numPr>
                <w:ilvl w:val="0"/>
                <w:numId w:val="23"/>
              </w:numPr>
              <w:spacing w:line="276" w:lineRule="auto"/>
              <w:jc w:val="left"/>
              <w:rPr>
                <w:rFonts w:asciiTheme="minorEastAsia" w:eastAsiaTheme="minorEastAsia" w:hAnsiTheme="minorEastAsia"/>
                <w:szCs w:val="21"/>
              </w:rPr>
            </w:pPr>
            <w:r w:rsidRPr="0015783D">
              <w:rPr>
                <w:rFonts w:asciiTheme="minorEastAsia" w:eastAsiaTheme="minorEastAsia" w:hAnsiTheme="minorEastAsia" w:hint="eastAsia"/>
                <w:szCs w:val="21"/>
              </w:rPr>
              <w:t>系统应内置一整套课程教学内容，教师可根据教学需要修改、增加、删除教学内容，通过按章节或项目方式创建教学内容，结合多样化的题库、课件、案例等教学资源，更好的完成整个学习过程</w:t>
            </w:r>
          </w:p>
          <w:p w:rsidR="0015783D" w:rsidRPr="0015783D" w:rsidRDefault="0015783D" w:rsidP="0015783D">
            <w:pPr>
              <w:numPr>
                <w:ilvl w:val="0"/>
                <w:numId w:val="23"/>
              </w:numPr>
              <w:spacing w:line="276" w:lineRule="auto"/>
              <w:jc w:val="left"/>
              <w:rPr>
                <w:rFonts w:asciiTheme="minorEastAsia" w:eastAsiaTheme="minorEastAsia" w:hAnsiTheme="minorEastAsia"/>
                <w:szCs w:val="21"/>
              </w:rPr>
            </w:pPr>
            <w:r w:rsidRPr="0015783D">
              <w:rPr>
                <w:rFonts w:asciiTheme="minorEastAsia" w:eastAsiaTheme="minorEastAsia" w:hAnsiTheme="minorEastAsia" w:hint="eastAsia"/>
                <w:szCs w:val="21"/>
              </w:rPr>
              <w:lastRenderedPageBreak/>
              <w:t>系统应可设置多程业务角色，如</w:t>
            </w:r>
            <w:r w:rsidRPr="0015783D">
              <w:rPr>
                <w:rFonts w:asciiTheme="minorEastAsia" w:eastAsiaTheme="minorEastAsia" w:hAnsiTheme="minorEastAsia" w:cs="宋体" w:hint="eastAsia"/>
                <w:szCs w:val="21"/>
              </w:rPr>
              <w:t>自然人、自然人投资者、一般法人、一般法人投资者、中国证券监督管理委员会、中国证券登记结算有限责任公司、证券公司等。每个角色预设签名及签章图片。</w:t>
            </w:r>
          </w:p>
          <w:p w:rsidR="0015783D" w:rsidRPr="0015783D" w:rsidRDefault="0015783D" w:rsidP="0015783D">
            <w:pPr>
              <w:numPr>
                <w:ilvl w:val="0"/>
                <w:numId w:val="23"/>
              </w:numPr>
              <w:spacing w:line="276" w:lineRule="auto"/>
              <w:jc w:val="left"/>
              <w:rPr>
                <w:rFonts w:asciiTheme="minorEastAsia" w:eastAsiaTheme="minorEastAsia" w:hAnsiTheme="minorEastAsia"/>
                <w:szCs w:val="21"/>
              </w:rPr>
            </w:pPr>
            <w:r w:rsidRPr="0015783D">
              <w:rPr>
                <w:rFonts w:asciiTheme="minorEastAsia" w:eastAsiaTheme="minorEastAsia" w:hAnsiTheme="minorEastAsia" w:cs="宋体" w:hint="eastAsia"/>
                <w:szCs w:val="21"/>
              </w:rPr>
              <w:t>*实训任务的设置应包含任务要求、背景资料、操作步骤、计算方法、图表分析、角色分配、输入项目、输出结果、任务设定、操作帮助、实训查询、实训竞赛等</w:t>
            </w:r>
          </w:p>
          <w:p w:rsidR="0015783D" w:rsidRPr="0015783D" w:rsidRDefault="0015783D" w:rsidP="0015783D">
            <w:pPr>
              <w:jc w:val="left"/>
              <w:rPr>
                <w:rFonts w:asciiTheme="minorEastAsia" w:eastAsiaTheme="minorEastAsia" w:hAnsiTheme="minorEastAsia" w:cs="宋体"/>
                <w:szCs w:val="21"/>
              </w:rPr>
            </w:pPr>
            <w:r w:rsidRPr="0015783D">
              <w:rPr>
                <w:rFonts w:asciiTheme="minorEastAsia" w:eastAsiaTheme="minorEastAsia" w:hAnsiTheme="minorEastAsia" w:cs="宋体" w:hint="eastAsia"/>
                <w:szCs w:val="21"/>
              </w:rPr>
              <w:t>8、*系统内置的实训任务内容至少包括：证券市场及工具、证券综合柜台业务、证券行情分析与操作、证券投资收益、证券投资分析、金融衍生品模拟实训、证券投资风险测评等</w:t>
            </w:r>
          </w:p>
          <w:p w:rsidR="0015783D" w:rsidRDefault="0015783D" w:rsidP="0015783D">
            <w:pPr>
              <w:widowControl/>
              <w:spacing w:line="276" w:lineRule="auto"/>
              <w:ind w:left="315" w:hangingChars="150" w:hanging="315"/>
              <w:jc w:val="left"/>
              <w:rPr>
                <w:rFonts w:asciiTheme="minorEastAsia" w:eastAsiaTheme="minorEastAsia" w:hAnsiTheme="minorEastAsia" w:hint="eastAsia"/>
                <w:szCs w:val="21"/>
              </w:rPr>
            </w:pPr>
            <w:r w:rsidRPr="0015783D">
              <w:rPr>
                <w:rFonts w:asciiTheme="minorEastAsia" w:eastAsiaTheme="minorEastAsia" w:hAnsiTheme="minorEastAsia" w:hint="eastAsia"/>
                <w:szCs w:val="21"/>
              </w:rPr>
              <w:t>9、*软件制造厂商参与了财政职业教育教学指导委员会“金融类”专业实验实训配置标准的建设，提供证明文件，所投软件为财政职业教育指导委员会“金融类”专业实验实训配置标准推荐产品。</w:t>
            </w:r>
          </w:p>
          <w:p w:rsidR="00094E5D" w:rsidRPr="0015783D" w:rsidRDefault="00094E5D" w:rsidP="0015783D">
            <w:pPr>
              <w:widowControl/>
              <w:spacing w:line="276" w:lineRule="auto"/>
              <w:ind w:left="315" w:hangingChars="150" w:hanging="315"/>
              <w:jc w:val="left"/>
              <w:rPr>
                <w:rFonts w:asciiTheme="minorEastAsia" w:eastAsiaTheme="minorEastAsia" w:hAnsiTheme="minorEastAsia"/>
                <w:szCs w:val="21"/>
              </w:rPr>
            </w:pPr>
            <w:r w:rsidRPr="00094E5D">
              <w:rPr>
                <w:rFonts w:asciiTheme="minorEastAsia" w:eastAsiaTheme="minorEastAsia" w:hAnsiTheme="minorEastAsia" w:hint="eastAsia"/>
                <w:szCs w:val="21"/>
              </w:rPr>
              <w:t>10</w:t>
            </w:r>
            <w:r>
              <w:rPr>
                <w:rFonts w:asciiTheme="minorEastAsia" w:eastAsiaTheme="minorEastAsia" w:hAnsiTheme="minorEastAsia" w:hint="eastAsia"/>
                <w:szCs w:val="21"/>
              </w:rPr>
              <w:t>、</w:t>
            </w:r>
            <w:r w:rsidRPr="00094E5D">
              <w:rPr>
                <w:rFonts w:asciiTheme="minorEastAsia" w:eastAsiaTheme="minorEastAsia" w:hAnsiTheme="minorEastAsia" w:hint="eastAsia"/>
                <w:szCs w:val="21"/>
              </w:rPr>
              <w:t>*提供所投软件《计算机著作权登记证书》和《软件产品登记证书》复印件，且产品登记证书中软件名称与项目名称一致，原件备查。</w:t>
            </w:r>
          </w:p>
          <w:p w:rsidR="00162A06" w:rsidRPr="00162A06" w:rsidRDefault="00162A06" w:rsidP="00162A06">
            <w:pPr>
              <w:spacing w:line="276" w:lineRule="auto"/>
              <w:jc w:val="left"/>
              <w:rPr>
                <w:rFonts w:asciiTheme="minorEastAsia" w:eastAsiaTheme="minorEastAsia" w:hAnsiTheme="minorEastAsia" w:hint="eastAsia"/>
                <w:szCs w:val="21"/>
              </w:rPr>
            </w:pPr>
            <w:r w:rsidRPr="00162A06">
              <w:rPr>
                <w:rFonts w:asciiTheme="minorEastAsia" w:eastAsiaTheme="minorEastAsia" w:hAnsiTheme="minorEastAsia" w:hint="eastAsia"/>
                <w:szCs w:val="21"/>
              </w:rPr>
              <w:t>11、*软件制造厂商曾成功组织过二次及以上全国大学生银行业务技能大赛， 提供证明文件，且所投产品为全国大学生银行业务技能竞赛平台蓝本。</w:t>
            </w:r>
          </w:p>
          <w:p w:rsidR="00162A06" w:rsidRPr="00162A06" w:rsidRDefault="00162A06" w:rsidP="00162A06">
            <w:pPr>
              <w:spacing w:line="276" w:lineRule="auto"/>
              <w:jc w:val="left"/>
              <w:rPr>
                <w:rFonts w:asciiTheme="minorEastAsia" w:eastAsiaTheme="minorEastAsia" w:hAnsiTheme="minorEastAsia" w:hint="eastAsia"/>
                <w:szCs w:val="21"/>
              </w:rPr>
            </w:pPr>
            <w:r w:rsidRPr="00162A06">
              <w:rPr>
                <w:rFonts w:asciiTheme="minorEastAsia" w:eastAsiaTheme="minorEastAsia" w:hAnsiTheme="minorEastAsia" w:hint="eastAsia"/>
                <w:szCs w:val="21"/>
              </w:rPr>
              <w:t>12、*制造厂商必须取得CMMI二级及以上认证，提供证书复印件，原件备查。</w:t>
            </w:r>
          </w:p>
          <w:p w:rsidR="00162A06" w:rsidRPr="00162A06" w:rsidRDefault="00162A06" w:rsidP="00162A06">
            <w:pPr>
              <w:spacing w:line="276" w:lineRule="auto"/>
              <w:jc w:val="left"/>
              <w:rPr>
                <w:rFonts w:asciiTheme="minorEastAsia" w:eastAsiaTheme="minorEastAsia" w:hAnsiTheme="minorEastAsia" w:hint="eastAsia"/>
                <w:szCs w:val="21"/>
              </w:rPr>
            </w:pPr>
            <w:r w:rsidRPr="00162A06">
              <w:rPr>
                <w:rFonts w:asciiTheme="minorEastAsia" w:eastAsiaTheme="minorEastAsia" w:hAnsiTheme="minorEastAsia" w:hint="eastAsia"/>
                <w:szCs w:val="21"/>
              </w:rPr>
              <w:t>13、提供软件相应的操作手册或实验教程</w:t>
            </w:r>
          </w:p>
          <w:p w:rsidR="0015783D" w:rsidRPr="0015783D" w:rsidRDefault="00162A06" w:rsidP="00162A06">
            <w:pPr>
              <w:jc w:val="left"/>
              <w:rPr>
                <w:rFonts w:asciiTheme="minorEastAsia" w:eastAsiaTheme="minorEastAsia" w:hAnsiTheme="minorEastAsia"/>
                <w:szCs w:val="21"/>
              </w:rPr>
            </w:pPr>
            <w:r w:rsidRPr="00162A06">
              <w:rPr>
                <w:rFonts w:asciiTheme="minorEastAsia" w:eastAsiaTheme="minorEastAsia" w:hAnsiTheme="minorEastAsia" w:hint="eastAsia"/>
                <w:szCs w:val="21"/>
              </w:rPr>
              <w:t>14</w:t>
            </w:r>
            <w:r>
              <w:rPr>
                <w:rFonts w:asciiTheme="minorEastAsia" w:eastAsiaTheme="minorEastAsia" w:hAnsiTheme="minorEastAsia" w:hint="eastAsia"/>
                <w:szCs w:val="21"/>
              </w:rPr>
              <w:t>、</w:t>
            </w:r>
            <w:r w:rsidRPr="00162A06">
              <w:rPr>
                <w:rFonts w:asciiTheme="minorEastAsia" w:eastAsiaTheme="minorEastAsia" w:hAnsiTheme="minorEastAsia" w:hint="eastAsia"/>
                <w:color w:val="FF0000"/>
                <w:szCs w:val="21"/>
              </w:rPr>
              <w:t>*带*星号需逐条满足，并且要求软件提供现场演示</w:t>
            </w:r>
          </w:p>
        </w:tc>
        <w:tc>
          <w:tcPr>
            <w:tcW w:w="850" w:type="dxa"/>
            <w:vAlign w:val="center"/>
          </w:tcPr>
          <w:p w:rsidR="0015783D" w:rsidRPr="0015783D" w:rsidRDefault="00020DE3" w:rsidP="00020DE3">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1套</w:t>
            </w:r>
          </w:p>
        </w:tc>
        <w:tc>
          <w:tcPr>
            <w:tcW w:w="1090" w:type="dxa"/>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三年免费更新服务</w:t>
            </w:r>
          </w:p>
        </w:tc>
      </w:tr>
      <w:tr w:rsidR="0015783D" w:rsidRPr="0015783D" w:rsidTr="005712DC">
        <w:trPr>
          <w:trHeight w:val="721"/>
          <w:jc w:val="center"/>
        </w:trPr>
        <w:tc>
          <w:tcPr>
            <w:tcW w:w="675" w:type="dxa"/>
            <w:tcBorders>
              <w:bottom w:val="single" w:sz="4" w:space="0" w:color="auto"/>
            </w:tcBorders>
            <w:vAlign w:val="center"/>
          </w:tcPr>
          <w:p w:rsidR="0015783D" w:rsidRPr="0015783D" w:rsidRDefault="00020DE3" w:rsidP="00821E8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1081" w:type="dxa"/>
            <w:tcBorders>
              <w:bottom w:val="single" w:sz="4" w:space="0" w:color="auto"/>
            </w:tcBorders>
            <w:vAlign w:val="center"/>
          </w:tcPr>
          <w:p w:rsidR="0015783D" w:rsidRPr="0015783D" w:rsidRDefault="00133A0C" w:rsidP="0015783D">
            <w:pPr>
              <w:jc w:val="left"/>
              <w:rPr>
                <w:rFonts w:asciiTheme="minorEastAsia" w:eastAsiaTheme="minorEastAsia" w:hAnsiTheme="minorEastAsia"/>
                <w:szCs w:val="21"/>
              </w:rPr>
            </w:pPr>
            <w:r w:rsidRPr="00133A0C">
              <w:rPr>
                <w:rFonts w:asciiTheme="minorEastAsia" w:eastAsiaTheme="minorEastAsia" w:hAnsiTheme="minorEastAsia" w:hint="eastAsia"/>
                <w:szCs w:val="21"/>
              </w:rPr>
              <w:t>金融投资实战软件 V1.0</w:t>
            </w:r>
          </w:p>
        </w:tc>
        <w:tc>
          <w:tcPr>
            <w:tcW w:w="6848" w:type="dxa"/>
            <w:tcBorders>
              <w:bottom w:val="single" w:sz="4" w:space="0" w:color="auto"/>
            </w:tcBorders>
            <w:vAlign w:val="center"/>
          </w:tcPr>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系统包含交易处理中心、管理系统、委托交易系统、行情分析系统四个子系统</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 系统可同时进行国内证券、商品期货、金融期货、外汇实盘、外汇虚盘模拟交易。同时，为了方便教学管理，学生的模拟资金账号只有一个，可分配人民币、美元。学生可以用账号里的初始资金进行国内证券与期货国际期货及外汇的买卖交易</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采用真实、准确的实时证券、期货、外汇行情，可以实时接收国内证券、国内期货、外汇交易所实时行情</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先进的实时分笔成交行情数据库存储技术，达到完全仿真实时交易环境的效果，极大地方便了教学实验应用</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系统可以非常方便地设置和修改期货及外汇合约、增加交易市场、增加期货及外汇交易品种，使得教师在进行模拟交易实验的时候可以清楚地计算出保证金、浮动盈亏及当前市值、手续费，使学生在进行实验时能清楚地了解系统的内部结算过程，达到更好的实验效果</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行情接收方式先进可靠，费用低廉。本系统通过随处可得的互联网络传输国内外证券、外汇、期货行情。智盛实时行情接收与转换系统可接收国内证券、期货、外汇市场的实时行情</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本系统撮合系统可以设置成24小时开市，学生的期货合约的开仓、平仓及外汇合约的开仓、平仓可以挂单委托，挂单保留天数可在学生委托时确定，系统不会对挂单的委托进行自动日结清算处理，委托请求在非上课时间也能撮合成交</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lastRenderedPageBreak/>
              <w:t>针对教学要求设计了专门的排行榜，可按系、按班级、按所有开户学生排名，还可以按股票交易、期货交易、外汇交易分别进行排名</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后台管理系统随时可查询学生的当日成交情况及持仓情况、平仓情况、排名情况，并保存每个账户的所有历史交易记录，可随时查询</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系统可以准确地计算出学生的证券模拟交易、期货模拟交易、外汇模拟交易盈亏情况，系统自动根据学生的盈亏、成交金额、成交记录、自我评价等计算实训成绩，教师可以此作为学生课程实训考试成绩，充分调动学生的学习热情</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 创新的实训测评系统，系统可自定义实训测评评分规划，每个班级可按不同的评分规则进行实训测评。评分规则测评项目包括了交易记录、成交金额、盈亏率、自我评价等，系统根据评分规则自动统计实训成绩。学生可实时查看实训成绩，并可以导出打印实训报告，极大地方便了教学实训测评统计</w:t>
            </w:r>
          </w:p>
          <w:p w:rsidR="0015783D" w:rsidRPr="0015783D" w:rsidRDefault="0015783D" w:rsidP="0015783D">
            <w:pPr>
              <w:numPr>
                <w:ilvl w:val="0"/>
                <w:numId w:val="21"/>
              </w:numPr>
              <w:jc w:val="left"/>
              <w:rPr>
                <w:rFonts w:asciiTheme="minorEastAsia" w:eastAsiaTheme="minorEastAsia" w:hAnsiTheme="minorEastAsia"/>
                <w:szCs w:val="21"/>
              </w:rPr>
            </w:pPr>
            <w:r w:rsidRPr="0015783D">
              <w:rPr>
                <w:rFonts w:asciiTheme="minorEastAsia" w:eastAsiaTheme="minorEastAsia" w:hAnsiTheme="minorEastAsia" w:hint="eastAsia"/>
                <w:szCs w:val="21"/>
              </w:rPr>
              <w:t>* 系统采用成熟稳定的.net编程技术，B/S结构，不需要安装客户端软件，易于教师及实验管理人员安装、调试及维护及系统</w:t>
            </w:r>
          </w:p>
          <w:p w:rsidR="0015783D" w:rsidRPr="0015783D" w:rsidRDefault="0015783D" w:rsidP="0015783D">
            <w:pPr>
              <w:widowControl/>
              <w:spacing w:line="276" w:lineRule="auto"/>
              <w:ind w:left="315" w:hangingChars="150" w:hanging="315"/>
              <w:jc w:val="left"/>
              <w:rPr>
                <w:rFonts w:asciiTheme="minorEastAsia" w:eastAsiaTheme="minorEastAsia" w:hAnsiTheme="minorEastAsia"/>
                <w:szCs w:val="21"/>
              </w:rPr>
            </w:pPr>
            <w:r w:rsidRPr="0015783D">
              <w:rPr>
                <w:rFonts w:asciiTheme="minorEastAsia" w:eastAsiaTheme="minorEastAsia" w:hAnsiTheme="minorEastAsia" w:hint="eastAsia"/>
                <w:szCs w:val="21"/>
              </w:rPr>
              <w:t>13、  * 软件制造厂商参与了财政职业教育教学指导委员会“金融类”专业实验实训配置标准的建设，提供证明文件，所投软件为财政职业教育指导委员会“金融类”专业实验实训配置标准推荐产品。</w:t>
            </w:r>
          </w:p>
          <w:p w:rsidR="00F66674" w:rsidRPr="00F66674" w:rsidRDefault="00F66674" w:rsidP="00F66674">
            <w:pPr>
              <w:spacing w:line="276" w:lineRule="auto"/>
              <w:jc w:val="left"/>
              <w:rPr>
                <w:rFonts w:asciiTheme="minorEastAsia" w:eastAsiaTheme="minorEastAsia" w:hAnsiTheme="minorEastAsia" w:hint="eastAsia"/>
                <w:szCs w:val="21"/>
              </w:rPr>
            </w:pPr>
            <w:r w:rsidRPr="00F66674">
              <w:rPr>
                <w:rFonts w:asciiTheme="minorEastAsia" w:eastAsiaTheme="minorEastAsia" w:hAnsiTheme="minorEastAsia" w:hint="eastAsia"/>
                <w:szCs w:val="21"/>
              </w:rPr>
              <w:t>14、*提供所投软件《计算机著作权登记证书》和《软件产品登记证书》复印件，且产品登记证书中软件名称与项目名称一致，原件备查。</w:t>
            </w:r>
          </w:p>
          <w:p w:rsidR="00F66674" w:rsidRPr="00F66674" w:rsidRDefault="00F66674" w:rsidP="00F66674">
            <w:pPr>
              <w:spacing w:line="276" w:lineRule="auto"/>
              <w:jc w:val="left"/>
              <w:rPr>
                <w:rFonts w:asciiTheme="minorEastAsia" w:eastAsiaTheme="minorEastAsia" w:hAnsiTheme="minorEastAsia" w:hint="eastAsia"/>
                <w:szCs w:val="21"/>
              </w:rPr>
            </w:pPr>
            <w:r w:rsidRPr="00F66674">
              <w:rPr>
                <w:rFonts w:asciiTheme="minorEastAsia" w:eastAsiaTheme="minorEastAsia" w:hAnsiTheme="minorEastAsia" w:hint="eastAsia"/>
                <w:szCs w:val="21"/>
              </w:rPr>
              <w:t>15、*软件制造厂商曾成功组织过二次及以上全国大学生银行业务技能大</w:t>
            </w:r>
          </w:p>
          <w:p w:rsidR="00F66674" w:rsidRPr="00F66674" w:rsidRDefault="00F66674" w:rsidP="00F66674">
            <w:pPr>
              <w:spacing w:line="276" w:lineRule="auto"/>
              <w:jc w:val="left"/>
              <w:rPr>
                <w:rFonts w:asciiTheme="minorEastAsia" w:eastAsiaTheme="minorEastAsia" w:hAnsiTheme="minorEastAsia" w:hint="eastAsia"/>
                <w:szCs w:val="21"/>
              </w:rPr>
            </w:pPr>
            <w:r w:rsidRPr="00F66674">
              <w:rPr>
                <w:rFonts w:asciiTheme="minorEastAsia" w:eastAsiaTheme="minorEastAsia" w:hAnsiTheme="minorEastAsia" w:hint="eastAsia"/>
                <w:szCs w:val="21"/>
              </w:rPr>
              <w:t>赛， 提供证明文件，且所投产品为全国大学生银行业务技能竞赛平台蓝</w:t>
            </w:r>
          </w:p>
          <w:p w:rsidR="00F66674" w:rsidRPr="00F66674" w:rsidRDefault="00F66674" w:rsidP="00F66674">
            <w:pPr>
              <w:spacing w:line="276" w:lineRule="auto"/>
              <w:jc w:val="left"/>
              <w:rPr>
                <w:rFonts w:asciiTheme="minorEastAsia" w:eastAsiaTheme="minorEastAsia" w:hAnsiTheme="minorEastAsia" w:hint="eastAsia"/>
                <w:szCs w:val="21"/>
              </w:rPr>
            </w:pPr>
            <w:r w:rsidRPr="00F66674">
              <w:rPr>
                <w:rFonts w:asciiTheme="minorEastAsia" w:eastAsiaTheme="minorEastAsia" w:hAnsiTheme="minorEastAsia" w:hint="eastAsia"/>
                <w:szCs w:val="21"/>
              </w:rPr>
              <w:t>本。</w:t>
            </w:r>
          </w:p>
          <w:p w:rsidR="00F66674" w:rsidRPr="00F66674" w:rsidRDefault="00F66674" w:rsidP="00F66674">
            <w:pPr>
              <w:spacing w:line="276" w:lineRule="auto"/>
              <w:jc w:val="left"/>
              <w:rPr>
                <w:rFonts w:asciiTheme="minorEastAsia" w:eastAsiaTheme="minorEastAsia" w:hAnsiTheme="minorEastAsia" w:hint="eastAsia"/>
                <w:szCs w:val="21"/>
              </w:rPr>
            </w:pPr>
            <w:r w:rsidRPr="00F66674">
              <w:rPr>
                <w:rFonts w:asciiTheme="minorEastAsia" w:eastAsiaTheme="minorEastAsia" w:hAnsiTheme="minorEastAsia" w:hint="eastAsia"/>
                <w:szCs w:val="21"/>
              </w:rPr>
              <w:t>16、*制造厂商必须取得CMMI二级及以上认证，提供证书复印件，原件备查。</w:t>
            </w:r>
          </w:p>
          <w:p w:rsidR="00F66674" w:rsidRPr="00F66674" w:rsidRDefault="00F66674" w:rsidP="00F66674">
            <w:pPr>
              <w:spacing w:line="276" w:lineRule="auto"/>
              <w:jc w:val="left"/>
              <w:rPr>
                <w:rFonts w:asciiTheme="minorEastAsia" w:eastAsiaTheme="minorEastAsia" w:hAnsiTheme="minorEastAsia" w:hint="eastAsia"/>
                <w:szCs w:val="21"/>
              </w:rPr>
            </w:pPr>
            <w:r w:rsidRPr="00F66674">
              <w:rPr>
                <w:rFonts w:asciiTheme="minorEastAsia" w:eastAsiaTheme="minorEastAsia" w:hAnsiTheme="minorEastAsia" w:hint="eastAsia"/>
                <w:szCs w:val="21"/>
              </w:rPr>
              <w:t>17、提供软件相应的操作手册或实验教程</w:t>
            </w:r>
          </w:p>
          <w:p w:rsidR="0015783D" w:rsidRPr="00F66674" w:rsidRDefault="00F66674" w:rsidP="00F66674">
            <w:pPr>
              <w:adjustRightInd w:val="0"/>
              <w:jc w:val="left"/>
              <w:rPr>
                <w:rFonts w:asciiTheme="minorEastAsia" w:eastAsiaTheme="minorEastAsia" w:hAnsiTheme="minorEastAsia"/>
                <w:szCs w:val="21"/>
              </w:rPr>
            </w:pPr>
            <w:r w:rsidRPr="00F66674">
              <w:rPr>
                <w:rFonts w:asciiTheme="minorEastAsia" w:eastAsiaTheme="minorEastAsia" w:hAnsiTheme="minorEastAsia" w:hint="eastAsia"/>
                <w:szCs w:val="21"/>
              </w:rPr>
              <w:t>18</w:t>
            </w:r>
            <w:r>
              <w:rPr>
                <w:rFonts w:asciiTheme="minorEastAsia" w:eastAsiaTheme="minorEastAsia" w:hAnsiTheme="minorEastAsia" w:hint="eastAsia"/>
                <w:szCs w:val="21"/>
              </w:rPr>
              <w:t>、</w:t>
            </w:r>
            <w:r w:rsidRPr="00F66674">
              <w:rPr>
                <w:rFonts w:asciiTheme="minorEastAsia" w:eastAsiaTheme="minorEastAsia" w:hAnsiTheme="minorEastAsia" w:hint="eastAsia"/>
                <w:color w:val="FF0000"/>
                <w:szCs w:val="21"/>
              </w:rPr>
              <w:t>*带*星号需逐条满足，并且要求软件提供现场演示</w:t>
            </w:r>
          </w:p>
        </w:tc>
        <w:tc>
          <w:tcPr>
            <w:tcW w:w="850" w:type="dxa"/>
            <w:tcBorders>
              <w:bottom w:val="single" w:sz="4" w:space="0" w:color="auto"/>
            </w:tcBorders>
            <w:vAlign w:val="center"/>
          </w:tcPr>
          <w:p w:rsidR="0015783D" w:rsidRPr="0015783D" w:rsidRDefault="00020DE3" w:rsidP="00020DE3">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1套</w:t>
            </w:r>
          </w:p>
        </w:tc>
        <w:tc>
          <w:tcPr>
            <w:tcW w:w="1090" w:type="dxa"/>
            <w:tcBorders>
              <w:bottom w:val="single" w:sz="4" w:space="0" w:color="auto"/>
            </w:tcBorders>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三年免费更新服务</w:t>
            </w:r>
          </w:p>
        </w:tc>
      </w:tr>
      <w:tr w:rsidR="0015783D" w:rsidRPr="0015783D" w:rsidTr="005712DC">
        <w:trPr>
          <w:trHeight w:val="658"/>
          <w:jc w:val="center"/>
        </w:trPr>
        <w:tc>
          <w:tcPr>
            <w:tcW w:w="675" w:type="dxa"/>
            <w:tcBorders>
              <w:top w:val="single" w:sz="4" w:space="0" w:color="auto"/>
            </w:tcBorders>
            <w:vAlign w:val="center"/>
          </w:tcPr>
          <w:p w:rsidR="0015783D" w:rsidRPr="0015783D" w:rsidRDefault="005712DC" w:rsidP="00821E8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c>
          <w:tcPr>
            <w:tcW w:w="1081" w:type="dxa"/>
            <w:tcBorders>
              <w:top w:val="single" w:sz="4" w:space="0" w:color="auto"/>
            </w:tcBorders>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万能大屏幕管理系统</w:t>
            </w:r>
          </w:p>
        </w:tc>
        <w:tc>
          <w:tcPr>
            <w:tcW w:w="6848" w:type="dxa"/>
            <w:tcBorders>
              <w:top w:val="single" w:sz="4" w:space="0" w:color="auto"/>
            </w:tcBorders>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 xml:space="preserve">    万能大屏幕管理系统支持android平台，智能手机或平板电脑便携控制操作、多液晶拼接技术；具有网络多用户远程操作、密码权限分级管理、显示模式设置和调用、信号源切换和分组管理、字幕显示等功能，涵盖了大屏幕显示系统的所有可控设备，包括投影显示单元、内嵌式图像处理器、RGB矩阵切换器、VIDEO矩阵切换器、各种通用图像处理器（如</w:t>
            </w:r>
            <w:proofErr w:type="spellStart"/>
            <w:r w:rsidRPr="0015783D">
              <w:rPr>
                <w:rFonts w:asciiTheme="minorEastAsia" w:eastAsiaTheme="minorEastAsia" w:hAnsiTheme="minorEastAsia" w:hint="eastAsia"/>
                <w:szCs w:val="21"/>
              </w:rPr>
              <w:t>HualuWP</w:t>
            </w:r>
            <w:proofErr w:type="spellEnd"/>
            <w:r w:rsidRPr="0015783D">
              <w:rPr>
                <w:rFonts w:asciiTheme="minorEastAsia" w:eastAsiaTheme="minorEastAsia" w:hAnsiTheme="minorEastAsia" w:hint="eastAsia"/>
                <w:szCs w:val="21"/>
              </w:rPr>
              <w:t>系列和ESP系列、Jupiter系列等）、LED显示屏和远端监控云台，并且预留二次开发接口，便于和第三方的软件和指挥中心平台软件对接。</w:t>
            </w:r>
          </w:p>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 xml:space="preserve">   系统充分发挥了网络分布式软件系统的优势，支持多个客户端的同时连接及操作，该软件拥有友好而简单直观的人机操作界面，通过简单的培训就可以掌握此软件的使用，使用户通过此软件就可以轻松直观的操作大屏幕系统，改变了传统大屏幕系统操作复杂、界面繁杂的问题。</w:t>
            </w:r>
          </w:p>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 xml:space="preserve">    多屏处理器系统显示的桌面及所有信号图像均能够在客户端软件虚拟操作界面上显示。通过回显，操作人员可以在软件控制界面中直观地对拼接墙系统所显示的内容和显示效果进行基本实时监控；预览可以实现在重要应用场合对信号源的预先准备和快速调用显示，确保信号显示的及时性和准确性。</w:t>
            </w:r>
          </w:p>
        </w:tc>
        <w:tc>
          <w:tcPr>
            <w:tcW w:w="850" w:type="dxa"/>
            <w:tcBorders>
              <w:top w:val="single" w:sz="4" w:space="0" w:color="auto"/>
            </w:tcBorders>
            <w:vAlign w:val="center"/>
          </w:tcPr>
          <w:p w:rsidR="0015783D" w:rsidRPr="0015783D" w:rsidRDefault="005712DC" w:rsidP="005712DC">
            <w:pPr>
              <w:jc w:val="center"/>
              <w:rPr>
                <w:rFonts w:asciiTheme="minorEastAsia" w:eastAsiaTheme="minorEastAsia" w:hAnsiTheme="minorEastAsia"/>
                <w:szCs w:val="21"/>
              </w:rPr>
            </w:pPr>
            <w:r>
              <w:rPr>
                <w:rFonts w:asciiTheme="minorEastAsia" w:eastAsiaTheme="minorEastAsia" w:hAnsiTheme="minorEastAsia" w:hint="eastAsia"/>
                <w:szCs w:val="21"/>
              </w:rPr>
              <w:t>1套</w:t>
            </w:r>
          </w:p>
        </w:tc>
        <w:tc>
          <w:tcPr>
            <w:tcW w:w="1090" w:type="dxa"/>
            <w:tcBorders>
              <w:top w:val="single" w:sz="4" w:space="0" w:color="auto"/>
            </w:tcBorders>
            <w:vAlign w:val="center"/>
          </w:tcPr>
          <w:p w:rsidR="0015783D" w:rsidRPr="0015783D" w:rsidRDefault="0015783D" w:rsidP="0015783D">
            <w:pPr>
              <w:jc w:val="left"/>
              <w:rPr>
                <w:rFonts w:asciiTheme="minorEastAsia" w:eastAsiaTheme="minorEastAsia" w:hAnsiTheme="minorEastAsia"/>
                <w:szCs w:val="21"/>
              </w:rPr>
            </w:pPr>
            <w:r w:rsidRPr="0015783D">
              <w:rPr>
                <w:rFonts w:asciiTheme="minorEastAsia" w:eastAsiaTheme="minorEastAsia" w:hAnsiTheme="minorEastAsia" w:hint="eastAsia"/>
                <w:szCs w:val="21"/>
              </w:rPr>
              <w:t>三年免费更新服务</w:t>
            </w:r>
          </w:p>
        </w:tc>
      </w:tr>
      <w:tr w:rsidR="0015783D" w:rsidRPr="0015783D" w:rsidTr="005712DC">
        <w:trPr>
          <w:trHeight w:val="658"/>
          <w:jc w:val="center"/>
        </w:trPr>
        <w:tc>
          <w:tcPr>
            <w:tcW w:w="675" w:type="dxa"/>
            <w:tcBorders>
              <w:top w:val="single" w:sz="4" w:space="0" w:color="auto"/>
            </w:tcBorders>
            <w:vAlign w:val="center"/>
          </w:tcPr>
          <w:p w:rsidR="0015783D" w:rsidRPr="0015783D" w:rsidRDefault="005712DC" w:rsidP="00821E8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5</w:t>
            </w:r>
          </w:p>
        </w:tc>
        <w:tc>
          <w:tcPr>
            <w:tcW w:w="1081" w:type="dxa"/>
            <w:tcBorders>
              <w:top w:val="single" w:sz="4" w:space="0" w:color="auto"/>
            </w:tcBorders>
            <w:vAlign w:val="center"/>
          </w:tcPr>
          <w:p w:rsidR="0015783D" w:rsidRPr="0015783D" w:rsidRDefault="004958FC" w:rsidP="0015783D">
            <w:pPr>
              <w:jc w:val="left"/>
              <w:rPr>
                <w:rFonts w:asciiTheme="minorEastAsia" w:eastAsiaTheme="minorEastAsia" w:hAnsiTheme="minorEastAsia"/>
                <w:szCs w:val="21"/>
              </w:rPr>
            </w:pPr>
            <w:r w:rsidRPr="004958FC">
              <w:rPr>
                <w:rFonts w:asciiTheme="minorEastAsia" w:eastAsiaTheme="minorEastAsia" w:hAnsiTheme="minorEastAsia" w:hint="eastAsia"/>
                <w:szCs w:val="21"/>
              </w:rPr>
              <w:t>全球金融资讯分析软件</w:t>
            </w:r>
          </w:p>
        </w:tc>
        <w:tc>
          <w:tcPr>
            <w:tcW w:w="6848" w:type="dxa"/>
            <w:tcBorders>
              <w:top w:val="single" w:sz="4" w:space="0" w:color="auto"/>
            </w:tcBorders>
            <w:vAlign w:val="center"/>
          </w:tcPr>
          <w:p w:rsidR="0015783D" w:rsidRPr="0015783D" w:rsidRDefault="0015783D" w:rsidP="0015783D">
            <w:pPr>
              <w:pStyle w:val="ListParagraph"/>
              <w:widowControl/>
              <w:numPr>
                <w:ilvl w:val="0"/>
                <w:numId w:val="22"/>
              </w:numPr>
              <w:ind w:firstLineChars="0"/>
              <w:jc w:val="left"/>
              <w:rPr>
                <w:rFonts w:asciiTheme="minorEastAsia" w:eastAsiaTheme="minorEastAsia" w:hAnsiTheme="minorEastAsia"/>
                <w:szCs w:val="21"/>
              </w:rPr>
            </w:pPr>
            <w:r w:rsidRPr="0015783D">
              <w:rPr>
                <w:rFonts w:asciiTheme="minorEastAsia" w:eastAsiaTheme="minorEastAsia" w:hAnsiTheme="minorEastAsia" w:hint="eastAsia"/>
                <w:szCs w:val="21"/>
              </w:rPr>
              <w:t xml:space="preserve">* </w:t>
            </w:r>
            <w:r w:rsidRPr="0015783D">
              <w:rPr>
                <w:rFonts w:asciiTheme="minorEastAsia" w:eastAsiaTheme="minorEastAsia" w:hAnsiTheme="minorEastAsia"/>
                <w:szCs w:val="21"/>
              </w:rPr>
              <w:t>沪深股票、创业板、基金、债券、B股实时行情、上海大连郑州期货实时行情、港股行情、股指期货实时行情、全球外汇交易行情、全球主要股票市场指数，国内及全球金融资讯信息</w:t>
            </w:r>
            <w:r w:rsidRPr="0015783D">
              <w:rPr>
                <w:rFonts w:asciiTheme="minorEastAsia" w:eastAsiaTheme="minorEastAsia" w:hAnsiTheme="minorEastAsia" w:hint="eastAsia"/>
                <w:szCs w:val="21"/>
              </w:rPr>
              <w:t>；</w:t>
            </w:r>
          </w:p>
          <w:p w:rsidR="0015783D" w:rsidRPr="0015783D" w:rsidRDefault="0015783D" w:rsidP="0015783D">
            <w:pPr>
              <w:pStyle w:val="ListParagraph"/>
              <w:widowControl/>
              <w:numPr>
                <w:ilvl w:val="0"/>
                <w:numId w:val="22"/>
              </w:numPr>
              <w:ind w:firstLineChars="0"/>
              <w:jc w:val="left"/>
              <w:rPr>
                <w:rFonts w:asciiTheme="minorEastAsia" w:eastAsiaTheme="minorEastAsia" w:hAnsiTheme="minorEastAsia"/>
                <w:szCs w:val="21"/>
              </w:rPr>
            </w:pPr>
            <w:r w:rsidRPr="0015783D">
              <w:rPr>
                <w:rFonts w:asciiTheme="minorEastAsia" w:eastAsiaTheme="minorEastAsia" w:hAnsiTheme="minorEastAsia"/>
                <w:szCs w:val="21"/>
              </w:rPr>
              <w:t>股指期货实时行情、纽交所股票行情；</w:t>
            </w:r>
          </w:p>
          <w:p w:rsidR="0015783D" w:rsidRPr="0015783D" w:rsidRDefault="0015783D" w:rsidP="0015783D">
            <w:pPr>
              <w:pStyle w:val="ListParagraph"/>
              <w:widowControl/>
              <w:numPr>
                <w:ilvl w:val="0"/>
                <w:numId w:val="22"/>
              </w:numPr>
              <w:ind w:firstLineChars="0"/>
              <w:jc w:val="left"/>
              <w:rPr>
                <w:rFonts w:asciiTheme="minorEastAsia" w:eastAsiaTheme="minorEastAsia" w:hAnsiTheme="minorEastAsia"/>
                <w:szCs w:val="21"/>
              </w:rPr>
            </w:pPr>
            <w:r w:rsidRPr="0015783D">
              <w:rPr>
                <w:rFonts w:asciiTheme="minorEastAsia" w:eastAsiaTheme="minorEastAsia" w:hAnsiTheme="minorEastAsia" w:hint="eastAsia"/>
                <w:szCs w:val="21"/>
              </w:rPr>
              <w:t xml:space="preserve">* </w:t>
            </w:r>
            <w:r w:rsidRPr="0015783D">
              <w:rPr>
                <w:rFonts w:asciiTheme="minorEastAsia" w:eastAsiaTheme="minorEastAsia" w:hAnsiTheme="minorEastAsia"/>
                <w:szCs w:val="21"/>
              </w:rPr>
              <w:t>智能行情资讯分析工具；</w:t>
            </w:r>
          </w:p>
          <w:p w:rsidR="0015783D" w:rsidRPr="0015783D" w:rsidRDefault="0015783D" w:rsidP="0015783D">
            <w:pPr>
              <w:pStyle w:val="ListParagraph"/>
              <w:ind w:firstLineChars="0" w:firstLine="0"/>
              <w:jc w:val="left"/>
              <w:rPr>
                <w:rFonts w:asciiTheme="minorEastAsia" w:eastAsiaTheme="minorEastAsia" w:hAnsiTheme="minorEastAsia"/>
                <w:szCs w:val="21"/>
              </w:rPr>
            </w:pPr>
            <w:r w:rsidRPr="0015783D">
              <w:rPr>
                <w:rFonts w:asciiTheme="minorEastAsia" w:eastAsiaTheme="minorEastAsia" w:hAnsiTheme="minorEastAsia" w:hint="eastAsia"/>
                <w:szCs w:val="21"/>
              </w:rPr>
              <w:t>4、 全球财经资讯包括宏观数据、财经资讯、产经快讯、期货资讯、外汇资讯等；</w:t>
            </w:r>
          </w:p>
          <w:p w:rsidR="0015783D" w:rsidRPr="0015783D" w:rsidRDefault="0015783D" w:rsidP="0015783D">
            <w:pPr>
              <w:pStyle w:val="ListParagraph"/>
              <w:ind w:firstLineChars="0" w:firstLine="0"/>
              <w:jc w:val="left"/>
              <w:rPr>
                <w:rFonts w:asciiTheme="minorEastAsia" w:eastAsiaTheme="minorEastAsia" w:hAnsiTheme="minorEastAsia"/>
                <w:szCs w:val="21"/>
              </w:rPr>
            </w:pPr>
            <w:r w:rsidRPr="0015783D">
              <w:rPr>
                <w:rFonts w:asciiTheme="minorEastAsia" w:eastAsiaTheme="minorEastAsia" w:hAnsiTheme="minorEastAsia" w:hint="eastAsia"/>
                <w:szCs w:val="21"/>
              </w:rPr>
              <w:t>5、 宏观经济数据包括消费者物价指数（CPI）、生产者物价指数（PPI）、国内生产总值（GDP）、采购经理人指数（PMI）、固定资产投资增速、房屋销售价格指数、宏观景气指数、工业增加值、消费者信心指数、消费品零售总额、进出口额、成品油价格；</w:t>
            </w:r>
          </w:p>
          <w:p w:rsidR="0015783D" w:rsidRPr="0015783D" w:rsidRDefault="0015783D" w:rsidP="0015783D">
            <w:pPr>
              <w:pStyle w:val="ListParagraph"/>
              <w:ind w:firstLineChars="0" w:firstLine="0"/>
              <w:jc w:val="left"/>
              <w:rPr>
                <w:rFonts w:asciiTheme="minorEastAsia" w:eastAsiaTheme="minorEastAsia" w:hAnsiTheme="minorEastAsia"/>
                <w:szCs w:val="21"/>
              </w:rPr>
            </w:pPr>
            <w:r w:rsidRPr="0015783D">
              <w:rPr>
                <w:rFonts w:asciiTheme="minorEastAsia" w:eastAsiaTheme="minorEastAsia" w:hAnsiTheme="minorEastAsia" w:hint="eastAsia"/>
                <w:szCs w:val="21"/>
              </w:rPr>
              <w:t>6、</w:t>
            </w:r>
            <w:r w:rsidRPr="0015783D">
              <w:rPr>
                <w:rFonts w:asciiTheme="minorEastAsia" w:eastAsiaTheme="minorEastAsia" w:hAnsiTheme="minorEastAsia"/>
                <w:szCs w:val="21"/>
              </w:rPr>
              <w:t>行业经济数据包括原油及成品油价格走势，煤炭、化工产品、造纸价格走势数据；</w:t>
            </w:r>
          </w:p>
          <w:p w:rsidR="0015783D" w:rsidRPr="0015783D" w:rsidRDefault="0015783D" w:rsidP="0015783D">
            <w:pPr>
              <w:pStyle w:val="ListParagraph"/>
              <w:ind w:firstLineChars="0" w:firstLine="0"/>
              <w:jc w:val="left"/>
              <w:rPr>
                <w:rFonts w:asciiTheme="minorEastAsia" w:eastAsiaTheme="minorEastAsia" w:hAnsiTheme="minorEastAsia"/>
                <w:szCs w:val="21"/>
              </w:rPr>
            </w:pPr>
            <w:r w:rsidRPr="0015783D">
              <w:rPr>
                <w:rFonts w:asciiTheme="minorEastAsia" w:eastAsiaTheme="minorEastAsia" w:hAnsiTheme="minorEastAsia" w:hint="eastAsia"/>
                <w:szCs w:val="21"/>
              </w:rPr>
              <w:t>7、</w:t>
            </w:r>
            <w:r w:rsidRPr="0015783D">
              <w:rPr>
                <w:rFonts w:asciiTheme="minorEastAsia" w:eastAsiaTheme="minorEastAsia" w:hAnsiTheme="minorEastAsia"/>
                <w:szCs w:val="21"/>
              </w:rPr>
              <w:t xml:space="preserve"> 央行利率、存款准备金率、M0\M1\M2货币供应量、银行间拆借利率、外汇储备数据分析；</w:t>
            </w:r>
          </w:p>
          <w:p w:rsidR="0015783D" w:rsidRPr="0015783D" w:rsidRDefault="0015783D" w:rsidP="0015783D">
            <w:pPr>
              <w:pStyle w:val="ListParagraph"/>
              <w:ind w:firstLineChars="0" w:firstLine="0"/>
              <w:jc w:val="left"/>
              <w:rPr>
                <w:rFonts w:asciiTheme="minorEastAsia" w:eastAsiaTheme="minorEastAsia" w:hAnsiTheme="minorEastAsia"/>
                <w:szCs w:val="21"/>
              </w:rPr>
            </w:pPr>
            <w:r w:rsidRPr="0015783D">
              <w:rPr>
                <w:rFonts w:asciiTheme="minorEastAsia" w:eastAsiaTheme="minorEastAsia" w:hAnsiTheme="minorEastAsia" w:hint="eastAsia"/>
                <w:szCs w:val="21"/>
              </w:rPr>
              <w:t>8、</w:t>
            </w:r>
            <w:r w:rsidRPr="0015783D">
              <w:rPr>
                <w:rFonts w:asciiTheme="minorEastAsia" w:eastAsiaTheme="minorEastAsia" w:hAnsiTheme="minorEastAsia"/>
                <w:szCs w:val="21"/>
              </w:rPr>
              <w:t>海关氧化铝、大豆进口量数据分析；</w:t>
            </w:r>
          </w:p>
          <w:p w:rsidR="0015783D" w:rsidRPr="0015783D" w:rsidRDefault="0015783D" w:rsidP="0015783D">
            <w:pPr>
              <w:pStyle w:val="ListParagraph"/>
              <w:ind w:firstLineChars="0" w:firstLine="0"/>
              <w:jc w:val="left"/>
              <w:rPr>
                <w:rFonts w:asciiTheme="minorEastAsia" w:eastAsiaTheme="minorEastAsia" w:hAnsiTheme="minorEastAsia"/>
                <w:szCs w:val="21"/>
              </w:rPr>
            </w:pPr>
            <w:r w:rsidRPr="0015783D">
              <w:rPr>
                <w:rFonts w:asciiTheme="minorEastAsia" w:eastAsiaTheme="minorEastAsia" w:hAnsiTheme="minorEastAsia" w:hint="eastAsia"/>
                <w:szCs w:val="21"/>
              </w:rPr>
              <w:t>9、</w:t>
            </w:r>
            <w:r w:rsidRPr="0015783D">
              <w:rPr>
                <w:rFonts w:asciiTheme="minorEastAsia" w:eastAsiaTheme="minorEastAsia" w:hAnsiTheme="minorEastAsia"/>
                <w:szCs w:val="21"/>
              </w:rPr>
              <w:t>钢铁产量、铁矿石、宝山钢铁指数</w:t>
            </w:r>
            <w:r w:rsidRPr="0015783D">
              <w:rPr>
                <w:rFonts w:asciiTheme="minorEastAsia" w:eastAsiaTheme="minorEastAsia" w:hAnsiTheme="minorEastAsia" w:hint="eastAsia"/>
                <w:szCs w:val="21"/>
              </w:rPr>
              <w:t>；</w:t>
            </w:r>
          </w:p>
          <w:p w:rsidR="0015783D" w:rsidRPr="0015783D" w:rsidRDefault="0015783D" w:rsidP="0015783D">
            <w:pPr>
              <w:pStyle w:val="ListParagraph"/>
              <w:ind w:firstLineChars="0" w:firstLine="0"/>
              <w:jc w:val="left"/>
              <w:rPr>
                <w:rFonts w:asciiTheme="minorEastAsia" w:eastAsiaTheme="minorEastAsia" w:hAnsiTheme="minorEastAsia"/>
                <w:szCs w:val="21"/>
              </w:rPr>
            </w:pPr>
            <w:r w:rsidRPr="0015783D">
              <w:rPr>
                <w:rFonts w:asciiTheme="minorEastAsia" w:eastAsiaTheme="minorEastAsia" w:hAnsiTheme="minorEastAsia" w:hint="eastAsia"/>
                <w:szCs w:val="21"/>
              </w:rPr>
              <w:t>10、</w:t>
            </w:r>
            <w:r w:rsidRPr="0015783D">
              <w:rPr>
                <w:rFonts w:asciiTheme="minorEastAsia" w:eastAsiaTheme="minorEastAsia" w:hAnsiTheme="minorEastAsia"/>
                <w:szCs w:val="21"/>
              </w:rPr>
              <w:t>中国棉花价格指数、羊毛市场行情价格指数</w:t>
            </w:r>
          </w:p>
          <w:p w:rsidR="0015783D" w:rsidRPr="0015783D" w:rsidRDefault="0015783D" w:rsidP="0015783D">
            <w:pPr>
              <w:widowControl/>
              <w:spacing w:line="276" w:lineRule="auto"/>
              <w:ind w:left="315" w:hangingChars="150" w:hanging="315"/>
              <w:jc w:val="left"/>
              <w:rPr>
                <w:rFonts w:asciiTheme="minorEastAsia" w:eastAsiaTheme="minorEastAsia" w:hAnsiTheme="minorEastAsia"/>
                <w:szCs w:val="21"/>
              </w:rPr>
            </w:pPr>
            <w:r w:rsidRPr="0015783D">
              <w:rPr>
                <w:rFonts w:asciiTheme="minorEastAsia" w:eastAsiaTheme="minorEastAsia" w:hAnsiTheme="minorEastAsia" w:hint="eastAsia"/>
                <w:szCs w:val="21"/>
              </w:rPr>
              <w:t>11、</w:t>
            </w:r>
            <w:r w:rsidRPr="0015783D">
              <w:rPr>
                <w:rFonts w:asciiTheme="minorEastAsia" w:eastAsiaTheme="minorEastAsia" w:hAnsiTheme="minorEastAsia"/>
                <w:szCs w:val="21"/>
              </w:rPr>
              <w:t>油轮运输市场运价指数、集装箱运输市场运价指数、货运输市场运行指数。</w:t>
            </w:r>
          </w:p>
          <w:p w:rsidR="0015783D" w:rsidRPr="0015783D" w:rsidRDefault="0015783D" w:rsidP="0015783D">
            <w:pPr>
              <w:widowControl/>
              <w:spacing w:line="276" w:lineRule="auto"/>
              <w:ind w:left="315" w:hangingChars="150" w:hanging="315"/>
              <w:jc w:val="left"/>
              <w:rPr>
                <w:rFonts w:asciiTheme="minorEastAsia" w:eastAsiaTheme="minorEastAsia" w:hAnsiTheme="minorEastAsia"/>
                <w:szCs w:val="21"/>
              </w:rPr>
            </w:pPr>
            <w:r w:rsidRPr="0015783D">
              <w:rPr>
                <w:rFonts w:asciiTheme="minorEastAsia" w:eastAsiaTheme="minorEastAsia" w:hAnsiTheme="minorEastAsia" w:hint="eastAsia"/>
                <w:szCs w:val="21"/>
              </w:rPr>
              <w:t>12、* 软件制造厂商参与了财政职业教育教学指导委员会“金融类”专业实验实训配置标准的建设，提供证明文件，所投软件为财政职业教育指导委员会“金融类”专业实验实训配置标准推荐产品。</w:t>
            </w:r>
          </w:p>
          <w:p w:rsidR="00657807" w:rsidRPr="00657807" w:rsidRDefault="00657807" w:rsidP="00657807">
            <w:pPr>
              <w:spacing w:line="276" w:lineRule="auto"/>
              <w:jc w:val="left"/>
              <w:rPr>
                <w:rFonts w:asciiTheme="minorEastAsia" w:eastAsiaTheme="minorEastAsia" w:hAnsiTheme="minorEastAsia" w:hint="eastAsia"/>
                <w:szCs w:val="21"/>
              </w:rPr>
            </w:pPr>
            <w:r w:rsidRPr="00657807">
              <w:rPr>
                <w:rFonts w:asciiTheme="minorEastAsia" w:eastAsiaTheme="minorEastAsia" w:hAnsiTheme="minorEastAsia" w:hint="eastAsia"/>
                <w:szCs w:val="21"/>
              </w:rPr>
              <w:t>13、*软件制造厂商曾成功组织过二次及以上全国大学生银行业务技能大</w:t>
            </w:r>
          </w:p>
          <w:p w:rsidR="00657807" w:rsidRPr="00657807" w:rsidRDefault="00657807" w:rsidP="00657807">
            <w:pPr>
              <w:spacing w:line="276" w:lineRule="auto"/>
              <w:jc w:val="left"/>
              <w:rPr>
                <w:rFonts w:asciiTheme="minorEastAsia" w:eastAsiaTheme="minorEastAsia" w:hAnsiTheme="minorEastAsia" w:hint="eastAsia"/>
                <w:szCs w:val="21"/>
              </w:rPr>
            </w:pPr>
            <w:r w:rsidRPr="00657807">
              <w:rPr>
                <w:rFonts w:asciiTheme="minorEastAsia" w:eastAsiaTheme="minorEastAsia" w:hAnsiTheme="minorEastAsia" w:hint="eastAsia"/>
                <w:szCs w:val="21"/>
              </w:rPr>
              <w:t>赛， 提供证明文件，且所投产品为全国大学生银行业务技能竞赛平台蓝</w:t>
            </w:r>
          </w:p>
          <w:p w:rsidR="00657807" w:rsidRPr="00657807" w:rsidRDefault="00657807" w:rsidP="00657807">
            <w:pPr>
              <w:spacing w:line="276" w:lineRule="auto"/>
              <w:jc w:val="left"/>
              <w:rPr>
                <w:rFonts w:asciiTheme="minorEastAsia" w:eastAsiaTheme="minorEastAsia" w:hAnsiTheme="minorEastAsia" w:hint="eastAsia"/>
                <w:szCs w:val="21"/>
              </w:rPr>
            </w:pPr>
            <w:r w:rsidRPr="00657807">
              <w:rPr>
                <w:rFonts w:asciiTheme="minorEastAsia" w:eastAsiaTheme="minorEastAsia" w:hAnsiTheme="minorEastAsia" w:hint="eastAsia"/>
                <w:szCs w:val="21"/>
              </w:rPr>
              <w:t>本。</w:t>
            </w:r>
          </w:p>
          <w:p w:rsidR="00657807" w:rsidRPr="00657807" w:rsidRDefault="00657807" w:rsidP="00657807">
            <w:pPr>
              <w:spacing w:line="276" w:lineRule="auto"/>
              <w:jc w:val="left"/>
              <w:rPr>
                <w:rFonts w:asciiTheme="minorEastAsia" w:eastAsiaTheme="minorEastAsia" w:hAnsiTheme="minorEastAsia" w:hint="eastAsia"/>
                <w:szCs w:val="21"/>
              </w:rPr>
            </w:pPr>
            <w:r w:rsidRPr="00657807">
              <w:rPr>
                <w:rFonts w:asciiTheme="minorEastAsia" w:eastAsiaTheme="minorEastAsia" w:hAnsiTheme="minorEastAsia" w:hint="eastAsia"/>
                <w:szCs w:val="21"/>
              </w:rPr>
              <w:t>14、*制造厂商必须取得CMMI二级及以上认证，提供证书复印件，原件备查。</w:t>
            </w:r>
          </w:p>
          <w:p w:rsidR="0015783D" w:rsidRPr="0015783D" w:rsidRDefault="00657807" w:rsidP="00657807">
            <w:pPr>
              <w:jc w:val="left"/>
              <w:rPr>
                <w:rFonts w:asciiTheme="minorEastAsia" w:eastAsiaTheme="minorEastAsia" w:hAnsiTheme="minorEastAsia"/>
                <w:szCs w:val="21"/>
              </w:rPr>
            </w:pPr>
            <w:r w:rsidRPr="00657807">
              <w:rPr>
                <w:rFonts w:asciiTheme="minorEastAsia" w:eastAsiaTheme="minorEastAsia" w:hAnsiTheme="minorEastAsia" w:hint="eastAsia"/>
                <w:szCs w:val="21"/>
              </w:rPr>
              <w:t>15、提供软件相应的操作手册或实验教程</w:t>
            </w:r>
          </w:p>
        </w:tc>
        <w:tc>
          <w:tcPr>
            <w:tcW w:w="850" w:type="dxa"/>
            <w:tcBorders>
              <w:top w:val="single" w:sz="4" w:space="0" w:color="auto"/>
            </w:tcBorders>
            <w:vAlign w:val="center"/>
          </w:tcPr>
          <w:p w:rsidR="0015783D" w:rsidRPr="0015783D" w:rsidRDefault="005712DC" w:rsidP="005712DC">
            <w:pPr>
              <w:jc w:val="center"/>
              <w:rPr>
                <w:rFonts w:asciiTheme="minorEastAsia" w:eastAsiaTheme="minorEastAsia" w:hAnsiTheme="minorEastAsia"/>
                <w:szCs w:val="21"/>
              </w:rPr>
            </w:pPr>
            <w:r>
              <w:rPr>
                <w:rFonts w:asciiTheme="minorEastAsia" w:eastAsiaTheme="minorEastAsia" w:hAnsiTheme="minorEastAsia" w:hint="eastAsia"/>
                <w:szCs w:val="21"/>
              </w:rPr>
              <w:t>100个</w:t>
            </w:r>
          </w:p>
        </w:tc>
        <w:tc>
          <w:tcPr>
            <w:tcW w:w="1090" w:type="dxa"/>
            <w:tcBorders>
              <w:top w:val="single" w:sz="4" w:space="0" w:color="auto"/>
            </w:tcBorders>
            <w:vAlign w:val="center"/>
          </w:tcPr>
          <w:p w:rsidR="00D650EE" w:rsidRPr="00D650EE" w:rsidRDefault="00D650EE" w:rsidP="00D650EE">
            <w:pPr>
              <w:jc w:val="left"/>
              <w:rPr>
                <w:rFonts w:asciiTheme="minorEastAsia" w:eastAsiaTheme="minorEastAsia" w:hAnsiTheme="minorEastAsia" w:hint="eastAsia"/>
                <w:szCs w:val="21"/>
              </w:rPr>
            </w:pPr>
            <w:r w:rsidRPr="00D650EE">
              <w:rPr>
                <w:rFonts w:asciiTheme="minorEastAsia" w:eastAsiaTheme="minorEastAsia" w:hAnsiTheme="minorEastAsia" w:hint="eastAsia"/>
                <w:szCs w:val="21"/>
              </w:rPr>
              <w:t>按照100个账号计算；</w:t>
            </w:r>
          </w:p>
          <w:p w:rsidR="0015783D" w:rsidRPr="0015783D" w:rsidRDefault="00D650EE" w:rsidP="00D650EE">
            <w:pPr>
              <w:jc w:val="left"/>
              <w:rPr>
                <w:rFonts w:asciiTheme="minorEastAsia" w:eastAsiaTheme="minorEastAsia" w:hAnsiTheme="minorEastAsia"/>
                <w:szCs w:val="21"/>
              </w:rPr>
            </w:pPr>
            <w:r w:rsidRPr="00D650EE">
              <w:rPr>
                <w:rFonts w:asciiTheme="minorEastAsia" w:eastAsiaTheme="minorEastAsia" w:hAnsiTheme="minorEastAsia" w:hint="eastAsia"/>
                <w:szCs w:val="21"/>
              </w:rPr>
              <w:t>一年免费更新服务</w:t>
            </w:r>
          </w:p>
        </w:tc>
      </w:tr>
    </w:tbl>
    <w:p w:rsidR="00A92484" w:rsidRPr="0015783D"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ListParagraph"/>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7" w:name="_Toc373485997"/>
      <w:bookmarkStart w:id="38" w:name="_Toc373486310"/>
      <w:bookmarkStart w:id="39" w:name="_Toc373500463"/>
      <w:r w:rsidRPr="00465962">
        <w:rPr>
          <w:rFonts w:ascii="仿宋" w:eastAsia="仿宋" w:hAnsi="仿宋" w:cs="仿宋" w:hint="eastAsia"/>
          <w:sz w:val="28"/>
          <w:szCs w:val="28"/>
        </w:rPr>
        <w:t>产品要求</w:t>
      </w:r>
      <w:bookmarkEnd w:id="37"/>
      <w:bookmarkEnd w:id="38"/>
      <w:bookmarkEnd w:id="39"/>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sidR="003B7296" w:rsidRPr="003B7296">
        <w:rPr>
          <w:rFonts w:ascii="仿宋" w:eastAsia="仿宋" w:hAnsi="仿宋" w:cs="仿宋" w:hint="eastAsia"/>
          <w:sz w:val="28"/>
          <w:szCs w:val="28"/>
        </w:rPr>
        <w:t>卖方应提供软件的安装、使用和维护的技术文件，如质量合格检定证明文件、保修服务卡、使用说明（原版正本）和维护手册，使用操作及维护等重要资料应附有中文说明（教学软件必须配有实训指导书）</w:t>
      </w:r>
      <w:r w:rsidR="003B7296">
        <w:rPr>
          <w:rFonts w:ascii="仿宋" w:eastAsia="仿宋" w:hAnsi="仿宋" w:cs="仿宋" w:hint="eastAsia"/>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w:t>
      </w:r>
      <w:r w:rsidR="006452B4" w:rsidRPr="006452B4">
        <w:rPr>
          <w:rFonts w:ascii="仿宋" w:eastAsia="仿宋" w:hAnsi="仿宋" w:cs="仿宋" w:hint="eastAsia"/>
          <w:sz w:val="28"/>
          <w:szCs w:val="28"/>
        </w:rPr>
        <w:t>卖方必须为用户（免费）培训软件使用操作人员，请投标方说明针对买方专业技术人员的培训计划。</w:t>
      </w:r>
    </w:p>
    <w:p w:rsidR="003B729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006452B4" w:rsidRPr="006452B4">
        <w:rPr>
          <w:rFonts w:ascii="仿宋" w:eastAsia="仿宋" w:hAnsi="仿宋" w:cs="仿宋" w:hint="eastAsia"/>
          <w:sz w:val="28"/>
          <w:szCs w:val="28"/>
        </w:rPr>
        <w:t>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BE3703">
        <w:rPr>
          <w:rFonts w:ascii="仿宋" w:eastAsia="仿宋" w:hAnsi="仿宋" w:cs="仿宋" w:hint="eastAsia"/>
          <w:sz w:val="28"/>
          <w:szCs w:val="28"/>
        </w:rPr>
        <w:t>四</w:t>
      </w:r>
      <w:r w:rsidRPr="00457F8B">
        <w:rPr>
          <w:rFonts w:ascii="仿宋" w:eastAsia="仿宋" w:hAnsi="仿宋" w:cs="仿宋" w:hint="eastAsia"/>
          <w:sz w:val="28"/>
          <w:szCs w:val="28"/>
        </w:rPr>
        <w:t>）</w:t>
      </w:r>
      <w:r w:rsidR="006452B4" w:rsidRPr="006452B4">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0" w:name="_Toc373485998"/>
      <w:bookmarkStart w:id="41" w:name="_Toc373486311"/>
      <w:bookmarkStart w:id="42" w:name="_Toc373500464"/>
      <w:r w:rsidRPr="00465962">
        <w:rPr>
          <w:rFonts w:ascii="仿宋" w:eastAsia="仿宋" w:hAnsi="仿宋" w:cs="仿宋" w:hint="eastAsia"/>
          <w:sz w:val="28"/>
          <w:szCs w:val="28"/>
        </w:rPr>
        <w:t>供货及验收</w:t>
      </w:r>
      <w:bookmarkEnd w:id="40"/>
      <w:bookmarkEnd w:id="41"/>
      <w:bookmarkEnd w:id="42"/>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2E3F98">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lastRenderedPageBreak/>
        <w:t>卖方派专业技术人员对买方技术人员进行培训（培训学时&gt;48小时），直至其全面掌握所有设备系统的应用及维护并认可为止。</w:t>
      </w:r>
    </w:p>
    <w:p w:rsidR="005900E5" w:rsidRDefault="004A3E7E" w:rsidP="005900E5">
      <w:pPr>
        <w:numPr>
          <w:ilvl w:val="0"/>
          <w:numId w:val="11"/>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3" w:name="_Toc373485999"/>
      <w:bookmarkStart w:id="44" w:name="_Toc373486312"/>
      <w:bookmarkStart w:id="45" w:name="_Toc373500465"/>
      <w:r w:rsidRPr="00465962">
        <w:rPr>
          <w:rFonts w:ascii="仿宋" w:eastAsia="仿宋" w:hAnsi="仿宋" w:cs="仿宋" w:hint="eastAsia"/>
          <w:sz w:val="28"/>
          <w:szCs w:val="28"/>
        </w:rPr>
        <w:t>售后服务</w:t>
      </w:r>
      <w:bookmarkEnd w:id="43"/>
      <w:bookmarkEnd w:id="44"/>
      <w:bookmarkEnd w:id="45"/>
    </w:p>
    <w:p w:rsidR="005900E5" w:rsidRPr="00465962" w:rsidRDefault="005900E5" w:rsidP="00722886">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w:t>
      </w:r>
      <w:r w:rsidR="004A3E7E">
        <w:rPr>
          <w:rFonts w:ascii="仿宋" w:eastAsia="仿宋" w:hAnsi="仿宋" w:cs="仿宋" w:hint="eastAsia"/>
          <w:sz w:val="28"/>
          <w:szCs w:val="28"/>
        </w:rPr>
        <w:t>（“</w:t>
      </w:r>
      <w:r w:rsidR="00722886" w:rsidRPr="00722886">
        <w:rPr>
          <w:rFonts w:ascii="仿宋" w:eastAsia="仿宋" w:hAnsi="仿宋" w:cs="仿宋" w:hint="eastAsia"/>
          <w:sz w:val="28"/>
          <w:szCs w:val="28"/>
        </w:rPr>
        <w:t>全球金融资讯分析软件</w:t>
      </w:r>
      <w:bookmarkStart w:id="46" w:name="_GoBack"/>
      <w:bookmarkEnd w:id="46"/>
      <w:r w:rsidR="004A3E7E">
        <w:rPr>
          <w:rFonts w:ascii="仿宋" w:eastAsia="仿宋" w:hAnsi="仿宋" w:cs="仿宋" w:hint="eastAsia"/>
          <w:sz w:val="28"/>
          <w:szCs w:val="28"/>
        </w:rPr>
        <w:t>”保修期为壹年）</w:t>
      </w:r>
      <w:r w:rsidRPr="00465962">
        <w:rPr>
          <w:rFonts w:ascii="仿宋" w:eastAsia="仿宋" w:hAnsi="仿宋" w:cs="仿宋" w:hint="eastAsia"/>
          <w:sz w:val="28"/>
          <w:szCs w:val="28"/>
        </w:rPr>
        <w:t>，包括技术支持、</w:t>
      </w:r>
      <w:r w:rsidR="00683689" w:rsidRPr="00683689">
        <w:rPr>
          <w:rFonts w:ascii="仿宋" w:eastAsia="仿宋" w:hAnsi="仿宋" w:cs="仿宋" w:hint="eastAsia"/>
          <w:sz w:val="28"/>
          <w:szCs w:val="28"/>
        </w:rPr>
        <w:t>版本升级及维护服务（包括上门服务），</w:t>
      </w:r>
      <w:r w:rsidRPr="00465962">
        <w:rPr>
          <w:rFonts w:ascii="仿宋" w:eastAsia="仿宋" w:hAnsi="仿宋" w:cs="仿宋" w:hint="eastAsia"/>
          <w:sz w:val="28"/>
          <w:szCs w:val="28"/>
        </w:rPr>
        <w:t>卖方承担因产品问题所发生的一切费用。</w:t>
      </w:r>
      <w:r w:rsidR="00B81D67">
        <w:rPr>
          <w:rFonts w:ascii="仿宋" w:eastAsia="仿宋" w:hAnsi="仿宋" w:cs="仿宋" w:hint="eastAsia"/>
          <w:sz w:val="28"/>
          <w:szCs w:val="28"/>
        </w:rPr>
        <w:t>质保</w:t>
      </w:r>
      <w:r w:rsidR="00B81D67" w:rsidRPr="00B81D67">
        <w:rPr>
          <w:rFonts w:ascii="仿宋" w:eastAsia="仿宋" w:hAnsi="仿宋" w:cs="仿宋" w:hint="eastAsia"/>
          <w:sz w:val="28"/>
          <w:szCs w:val="28"/>
        </w:rPr>
        <w:t>期内，买方硬件、网络设备故障导致要重新安装软件的，卖方应无条件免费安装、调试。</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B81D67" w:rsidP="00B81D67">
      <w:pPr>
        <w:numPr>
          <w:ilvl w:val="0"/>
          <w:numId w:val="12"/>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故障响应时间及方式：</w:t>
      </w:r>
      <w:r w:rsidRPr="00B81D67">
        <w:rPr>
          <w:rFonts w:ascii="仿宋" w:eastAsia="仿宋" w:hAnsi="仿宋" w:cs="仿宋" w:hint="eastAsia"/>
          <w:sz w:val="28"/>
          <w:szCs w:val="28"/>
        </w:rPr>
        <w:t>4小时内远程维护，24小时内到达现场，48小时内解决问题。</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744C2">
      <w:pPr>
        <w:numPr>
          <w:ilvl w:val="0"/>
          <w:numId w:val="12"/>
        </w:numPr>
        <w:rPr>
          <w:rFonts w:ascii="仿宋" w:eastAsia="仿宋" w:hAnsi="仿宋" w:cs="仿宋"/>
          <w:sz w:val="28"/>
          <w:szCs w:val="28"/>
        </w:rPr>
      </w:pPr>
      <w:r w:rsidRPr="00465962">
        <w:rPr>
          <w:rFonts w:ascii="仿宋" w:eastAsia="仿宋" w:hAnsi="仿宋" w:cs="仿宋" w:hint="eastAsia"/>
          <w:sz w:val="28"/>
          <w:szCs w:val="28"/>
        </w:rPr>
        <w:t>质保期满后，根据甲方的需要，</w:t>
      </w:r>
      <w:r w:rsidR="005744C2" w:rsidRPr="005744C2">
        <w:rPr>
          <w:rFonts w:ascii="仿宋" w:eastAsia="仿宋" w:hAnsi="仿宋" w:cs="仿宋" w:hint="eastAsia"/>
          <w:sz w:val="28"/>
          <w:szCs w:val="28"/>
        </w:rPr>
        <w:t>继续提供免费版本升级服务。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合同签定之日起7个工作日内，买方预付合同总价20%作为定金；验收合格后，15个工作日内支付合同总价7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w:t>
      </w:r>
      <w:r w:rsidRPr="00465962">
        <w:rPr>
          <w:rFonts w:ascii="仿宋" w:eastAsia="仿宋" w:hAnsi="仿宋" w:cs="仿宋" w:hint="eastAsia"/>
          <w:sz w:val="28"/>
          <w:szCs w:val="28"/>
        </w:rPr>
        <w:lastRenderedPageBreak/>
        <w:t>量及服务问题的，7个工作日内支付余款。</w:t>
      </w:r>
      <w:bookmarkEnd w:id="50"/>
      <w:bookmarkEnd w:id="51"/>
      <w:bookmarkEnd w:id="52"/>
    </w:p>
    <w:p w:rsidR="005900E5" w:rsidRPr="00CE0FAF" w:rsidRDefault="005900E5" w:rsidP="00CE0FAF">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2.投标报价应包含必要设备、配备件、标配工具、运输、安装、调试、技术指导、验收、维保、税金及项目实施过程中不可预见的一切费用。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PlainText"/>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PlainText"/>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PlainText"/>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我方愿意向贵方提供真实完整的任何与该项投标有关的数据、情况和技术资料，若贵方需要，我方愿意提供我方作出的一切承诺的证明材料。</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PlainText"/>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PlainText"/>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PlainText"/>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200" w:firstLine="480"/>
        <w:rPr>
          <w:rFonts w:ascii="仿宋" w:eastAsia="仿宋" w:hAnsi="仿宋" w:cs="仿宋"/>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PlainText"/>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PlainText"/>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15783D">
      <w:footerReference w:type="first" r:id="rId11"/>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14" w:rsidRDefault="00290714" w:rsidP="005900E5">
      <w:r>
        <w:separator/>
      </w:r>
    </w:p>
  </w:endnote>
  <w:endnote w:type="continuationSeparator" w:id="0">
    <w:p w:rsidR="00290714" w:rsidRDefault="00290714"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Footer"/>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22886" w:rsidRPr="00722886">
                            <w:rPr>
                              <w:noProof/>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22886">
                            <w:rPr>
                              <w:noProof/>
                              <w:sz w:val="18"/>
                            </w:rPr>
                            <w:t>20</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22886" w:rsidRPr="00722886">
                      <w:rPr>
                        <w:noProof/>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22886">
                      <w:rPr>
                        <w:noProof/>
                        <w:sz w:val="18"/>
                      </w:rPr>
                      <w:t>20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Footer"/>
    </w:pPr>
    <w:r>
      <w:rPr>
        <w:noProof/>
      </w:rPr>
      <mc:AlternateContent>
        <mc:Choice Requires="wps">
          <w:drawing>
            <wp:anchor distT="0" distB="0" distL="114300" distR="114300" simplePos="0" relativeHeight="251658240" behindDoc="0" locked="0" layoutInCell="1" allowOverlap="1" wp14:anchorId="08BBCB39" wp14:editId="277000A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A784A" w:rsidRPr="007A784A">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A784A">
                            <w:rPr>
                              <w:noProof/>
                              <w:sz w:val="18"/>
                            </w:rPr>
                            <w:t>20</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A784A" w:rsidRPr="007A784A">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7A784A">
                      <w:rPr>
                        <w:noProof/>
                        <w:sz w:val="18"/>
                      </w:rPr>
                      <w:t>20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14" w:rsidRDefault="00290714" w:rsidP="005900E5">
      <w:r>
        <w:separator/>
      </w:r>
    </w:p>
  </w:footnote>
  <w:footnote w:type="continuationSeparator" w:id="0">
    <w:p w:rsidR="00290714" w:rsidRDefault="00290714"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DE0DF3" w:rsidRDefault="002C4841" w:rsidP="00FE4E5F">
    <w:pPr>
      <w:pStyle w:val="Header"/>
      <w:jc w:val="left"/>
    </w:pPr>
    <w:r>
      <w:rPr>
        <w:rFonts w:hint="eastAsia"/>
      </w:rPr>
      <w:t>中山大学新华学院</w:t>
    </w:r>
    <w:r>
      <w:rPr>
        <w:rFonts w:hint="eastAsia"/>
      </w:rPr>
      <w:t>2015</w:t>
    </w:r>
    <w:r>
      <w:rPr>
        <w:rFonts w:hint="eastAsia"/>
      </w:rPr>
      <w:t>年金融衍生品实训室软件</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w:t>
    </w:r>
    <w:r>
      <w:rPr>
        <w:rFonts w:hint="eastAsia"/>
      </w:rPr>
      <w:t>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rsidP="00FE4E5F">
    <w:pPr>
      <w:pStyle w:val="Header"/>
      <w:jc w:val="left"/>
    </w:pPr>
    <w:r>
      <w:rPr>
        <w:rFonts w:hint="eastAsia"/>
      </w:rPr>
      <w:t>中山大学新华学院</w:t>
    </w:r>
    <w:r>
      <w:rPr>
        <w:rFonts w:hint="eastAsia"/>
      </w:rPr>
      <w:t>201</w:t>
    </w:r>
    <w:r w:rsidR="003B5BEA">
      <w:rPr>
        <w:rFonts w:hint="eastAsia"/>
      </w:rPr>
      <w:t>5</w:t>
    </w:r>
    <w:r>
      <w:rPr>
        <w:rFonts w:hint="eastAsia"/>
      </w:rPr>
      <w:t>年</w:t>
    </w:r>
    <w:r w:rsidR="002C4841">
      <w:rPr>
        <w:rFonts w:hint="eastAsia"/>
      </w:rPr>
      <w:t>金融衍生品</w:t>
    </w:r>
    <w:r w:rsidR="003B5BEA">
      <w:rPr>
        <w:rFonts w:hint="eastAsia"/>
      </w:rPr>
      <w:t>实训室</w:t>
    </w:r>
    <w:r w:rsidR="00821FDA">
      <w:rPr>
        <w:rFonts w:hint="eastAsia"/>
      </w:rPr>
      <w:t>软件</w:t>
    </w:r>
    <w:r>
      <w:t>招标</w:t>
    </w:r>
    <w:r>
      <w:rPr>
        <w:rFonts w:hint="eastAsia"/>
      </w:rPr>
      <w:t xml:space="preserve">               </w:t>
    </w:r>
    <w:r w:rsidR="002C4841">
      <w:rPr>
        <w:rFonts w:hint="eastAsia"/>
      </w:rPr>
      <w:t xml:space="preserve">                 </w:t>
    </w:r>
    <w:r w:rsidR="00A17F0D">
      <w:rPr>
        <w:rFonts w:hint="eastAsia"/>
      </w:rPr>
      <w:t xml:space="preserve">     </w:t>
    </w:r>
    <w:r>
      <w:rPr>
        <w:rFonts w:hint="eastAsia"/>
      </w:rPr>
      <w:t>项目编号：</w:t>
    </w:r>
    <w:r w:rsidRPr="00305F4A">
      <w:t>ZDXH</w:t>
    </w:r>
    <w:r>
      <w:rPr>
        <w:rFonts w:hint="eastAsia"/>
      </w:rPr>
      <w:t>A</w:t>
    </w:r>
    <w:r w:rsidRPr="00305F4A">
      <w:t>a201</w:t>
    </w:r>
    <w:r w:rsidR="003B5BEA">
      <w:rPr>
        <w:rFonts w:hint="eastAsia"/>
      </w:rPr>
      <w:t>5</w:t>
    </w:r>
    <w:r w:rsidRPr="00305F4A">
      <w:t>0</w:t>
    </w:r>
    <w:r w:rsidR="003B5BEA">
      <w:rPr>
        <w:rFonts w:hint="eastAsia"/>
      </w:rPr>
      <w:t>1</w:t>
    </w:r>
    <w:r w:rsidRPr="00305F4A">
      <w:t>0</w:t>
    </w:r>
    <w:r w:rsidR="002C4841">
      <w:rPr>
        <w:rFonts w:hint="eastAsia"/>
      </w:rPr>
      <w:t>1</w:t>
    </w:r>
    <w:r w:rsidR="00821FDA">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8834435"/>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19266FC7"/>
    <w:multiLevelType w:val="hybridMultilevel"/>
    <w:tmpl w:val="A58C9250"/>
    <w:lvl w:ilvl="0" w:tplc="ACBE8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4E1F4AEA"/>
    <w:multiLevelType w:val="hybridMultilevel"/>
    <w:tmpl w:val="94D08298"/>
    <w:lvl w:ilvl="0" w:tplc="06902AB4">
      <w:start w:val="16"/>
      <w:numFmt w:val="decimal"/>
      <w:lvlText w:val="%1、"/>
      <w:lvlJc w:val="left"/>
      <w:pPr>
        <w:ind w:left="473" w:hanging="420"/>
      </w:pPr>
      <w:rPr>
        <w:rFonts w:hint="default"/>
      </w:rPr>
    </w:lvl>
    <w:lvl w:ilvl="1" w:tplc="04090019" w:tentative="1">
      <w:start w:val="1"/>
      <w:numFmt w:val="lowerLetter"/>
      <w:lvlText w:val="%2)"/>
      <w:lvlJc w:val="left"/>
      <w:pPr>
        <w:ind w:left="893" w:hanging="420"/>
      </w:pPr>
    </w:lvl>
    <w:lvl w:ilvl="2" w:tplc="0409001B" w:tentative="1">
      <w:start w:val="1"/>
      <w:numFmt w:val="lowerRoman"/>
      <w:lvlText w:val="%3."/>
      <w:lvlJc w:val="right"/>
      <w:pPr>
        <w:ind w:left="1313" w:hanging="420"/>
      </w:pPr>
    </w:lvl>
    <w:lvl w:ilvl="3" w:tplc="0409000F" w:tentative="1">
      <w:start w:val="1"/>
      <w:numFmt w:val="decimal"/>
      <w:lvlText w:val="%4."/>
      <w:lvlJc w:val="left"/>
      <w:pPr>
        <w:ind w:left="1733" w:hanging="420"/>
      </w:pPr>
    </w:lvl>
    <w:lvl w:ilvl="4" w:tplc="04090019" w:tentative="1">
      <w:start w:val="1"/>
      <w:numFmt w:val="lowerLetter"/>
      <w:lvlText w:val="%5)"/>
      <w:lvlJc w:val="left"/>
      <w:pPr>
        <w:ind w:left="2153" w:hanging="420"/>
      </w:pPr>
    </w:lvl>
    <w:lvl w:ilvl="5" w:tplc="0409001B" w:tentative="1">
      <w:start w:val="1"/>
      <w:numFmt w:val="lowerRoman"/>
      <w:lvlText w:val="%6."/>
      <w:lvlJc w:val="right"/>
      <w:pPr>
        <w:ind w:left="2573" w:hanging="420"/>
      </w:pPr>
    </w:lvl>
    <w:lvl w:ilvl="6" w:tplc="0409000F" w:tentative="1">
      <w:start w:val="1"/>
      <w:numFmt w:val="decimal"/>
      <w:lvlText w:val="%7."/>
      <w:lvlJc w:val="left"/>
      <w:pPr>
        <w:ind w:left="2993" w:hanging="420"/>
      </w:pPr>
    </w:lvl>
    <w:lvl w:ilvl="7" w:tplc="04090019" w:tentative="1">
      <w:start w:val="1"/>
      <w:numFmt w:val="lowerLetter"/>
      <w:lvlText w:val="%8)"/>
      <w:lvlJc w:val="left"/>
      <w:pPr>
        <w:ind w:left="3413" w:hanging="420"/>
      </w:pPr>
    </w:lvl>
    <w:lvl w:ilvl="8" w:tplc="0409001B" w:tentative="1">
      <w:start w:val="1"/>
      <w:numFmt w:val="lowerRoman"/>
      <w:lvlText w:val="%9."/>
      <w:lvlJc w:val="right"/>
      <w:pPr>
        <w:ind w:left="3833" w:hanging="420"/>
      </w:pPr>
    </w:lvl>
  </w:abstractNum>
  <w:abstractNum w:abstractNumId="21">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22">
    <w:nsid w:val="6B847147"/>
    <w:multiLevelType w:val="hybridMultilevel"/>
    <w:tmpl w:val="0782625A"/>
    <w:lvl w:ilvl="0" w:tplc="D2BE4D4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482671"/>
    <w:multiLevelType w:val="multilevel"/>
    <w:tmpl w:val="75482671"/>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1"/>
  </w:num>
  <w:num w:numId="14">
    <w:abstractNumId w:val="2"/>
  </w:num>
  <w:num w:numId="15">
    <w:abstractNumId w:val="13"/>
  </w:num>
  <w:num w:numId="16">
    <w:abstractNumId w:val="19"/>
  </w:num>
  <w:num w:numId="17">
    <w:abstractNumId w:val="18"/>
  </w:num>
  <w:num w:numId="18">
    <w:abstractNumId w:val="17"/>
  </w:num>
  <w:num w:numId="19">
    <w:abstractNumId w:val="16"/>
  </w:num>
  <w:num w:numId="20">
    <w:abstractNumId w:val="14"/>
  </w:num>
  <w:num w:numId="21">
    <w:abstractNumId w:val="22"/>
  </w:num>
  <w:num w:numId="22">
    <w:abstractNumId w:val="23"/>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6FE4"/>
    <w:rsid w:val="00063730"/>
    <w:rsid w:val="00065100"/>
    <w:rsid w:val="000661C8"/>
    <w:rsid w:val="00066F4F"/>
    <w:rsid w:val="000717EF"/>
    <w:rsid w:val="0008364D"/>
    <w:rsid w:val="00090522"/>
    <w:rsid w:val="00090E40"/>
    <w:rsid w:val="00094E5D"/>
    <w:rsid w:val="0009698E"/>
    <w:rsid w:val="000B1C3D"/>
    <w:rsid w:val="000B5FE3"/>
    <w:rsid w:val="000C0608"/>
    <w:rsid w:val="000C728A"/>
    <w:rsid w:val="000D1F61"/>
    <w:rsid w:val="00123417"/>
    <w:rsid w:val="00123536"/>
    <w:rsid w:val="00125A89"/>
    <w:rsid w:val="00133A0C"/>
    <w:rsid w:val="00136356"/>
    <w:rsid w:val="001509F3"/>
    <w:rsid w:val="0015783D"/>
    <w:rsid w:val="00162A06"/>
    <w:rsid w:val="001669C0"/>
    <w:rsid w:val="001710AF"/>
    <w:rsid w:val="00184CDF"/>
    <w:rsid w:val="001B5D7A"/>
    <w:rsid w:val="001E64FD"/>
    <w:rsid w:val="001E7F93"/>
    <w:rsid w:val="001F47DF"/>
    <w:rsid w:val="00201F4B"/>
    <w:rsid w:val="002077FA"/>
    <w:rsid w:val="00247528"/>
    <w:rsid w:val="00250837"/>
    <w:rsid w:val="0025705C"/>
    <w:rsid w:val="0026054C"/>
    <w:rsid w:val="00264E33"/>
    <w:rsid w:val="002818B6"/>
    <w:rsid w:val="00284CE0"/>
    <w:rsid w:val="00290714"/>
    <w:rsid w:val="002A0288"/>
    <w:rsid w:val="002C01E1"/>
    <w:rsid w:val="002C4841"/>
    <w:rsid w:val="002C5CD4"/>
    <w:rsid w:val="002D631F"/>
    <w:rsid w:val="002E3F98"/>
    <w:rsid w:val="00300865"/>
    <w:rsid w:val="00305780"/>
    <w:rsid w:val="00305F4A"/>
    <w:rsid w:val="003252C5"/>
    <w:rsid w:val="00325926"/>
    <w:rsid w:val="003425CE"/>
    <w:rsid w:val="00342D21"/>
    <w:rsid w:val="00351970"/>
    <w:rsid w:val="00365A86"/>
    <w:rsid w:val="003773F9"/>
    <w:rsid w:val="00377D32"/>
    <w:rsid w:val="003832DE"/>
    <w:rsid w:val="003870FC"/>
    <w:rsid w:val="00390EED"/>
    <w:rsid w:val="003A2500"/>
    <w:rsid w:val="003B5BEA"/>
    <w:rsid w:val="003B7296"/>
    <w:rsid w:val="003C28BC"/>
    <w:rsid w:val="003D6EE4"/>
    <w:rsid w:val="003F1C52"/>
    <w:rsid w:val="00400A00"/>
    <w:rsid w:val="004253A7"/>
    <w:rsid w:val="00431970"/>
    <w:rsid w:val="004338C5"/>
    <w:rsid w:val="0044592E"/>
    <w:rsid w:val="0045085C"/>
    <w:rsid w:val="00457F8B"/>
    <w:rsid w:val="004958FC"/>
    <w:rsid w:val="004A3E7E"/>
    <w:rsid w:val="004A6167"/>
    <w:rsid w:val="004B3176"/>
    <w:rsid w:val="004B7746"/>
    <w:rsid w:val="004F5429"/>
    <w:rsid w:val="0051470C"/>
    <w:rsid w:val="005209E8"/>
    <w:rsid w:val="005329FE"/>
    <w:rsid w:val="0056120E"/>
    <w:rsid w:val="00563DF7"/>
    <w:rsid w:val="005712DC"/>
    <w:rsid w:val="005744C2"/>
    <w:rsid w:val="00581DBC"/>
    <w:rsid w:val="005900E5"/>
    <w:rsid w:val="005A6F28"/>
    <w:rsid w:val="005B10B8"/>
    <w:rsid w:val="005B2BA3"/>
    <w:rsid w:val="00603005"/>
    <w:rsid w:val="0060371D"/>
    <w:rsid w:val="00605F06"/>
    <w:rsid w:val="006240EC"/>
    <w:rsid w:val="0063561C"/>
    <w:rsid w:val="00641BCE"/>
    <w:rsid w:val="006452B4"/>
    <w:rsid w:val="00657807"/>
    <w:rsid w:val="006639B7"/>
    <w:rsid w:val="00663DE3"/>
    <w:rsid w:val="0068058F"/>
    <w:rsid w:val="00683689"/>
    <w:rsid w:val="00690697"/>
    <w:rsid w:val="00692253"/>
    <w:rsid w:val="00692EA0"/>
    <w:rsid w:val="006B708C"/>
    <w:rsid w:val="006C6DDB"/>
    <w:rsid w:val="006D72D7"/>
    <w:rsid w:val="006F2A38"/>
    <w:rsid w:val="007146AE"/>
    <w:rsid w:val="00722886"/>
    <w:rsid w:val="00731AD5"/>
    <w:rsid w:val="0074446F"/>
    <w:rsid w:val="00761CB2"/>
    <w:rsid w:val="00770448"/>
    <w:rsid w:val="00774136"/>
    <w:rsid w:val="0078108E"/>
    <w:rsid w:val="00794BC8"/>
    <w:rsid w:val="007A784A"/>
    <w:rsid w:val="007C1659"/>
    <w:rsid w:val="007C35CB"/>
    <w:rsid w:val="007D250D"/>
    <w:rsid w:val="007E1CEF"/>
    <w:rsid w:val="007E2B3E"/>
    <w:rsid w:val="007E52F7"/>
    <w:rsid w:val="007F4A5F"/>
    <w:rsid w:val="0081578B"/>
    <w:rsid w:val="00821FDA"/>
    <w:rsid w:val="00824934"/>
    <w:rsid w:val="00827950"/>
    <w:rsid w:val="0083786E"/>
    <w:rsid w:val="00856523"/>
    <w:rsid w:val="00876A31"/>
    <w:rsid w:val="008A5378"/>
    <w:rsid w:val="008D0C75"/>
    <w:rsid w:val="008D508F"/>
    <w:rsid w:val="008E01EF"/>
    <w:rsid w:val="008E5379"/>
    <w:rsid w:val="00907E14"/>
    <w:rsid w:val="009103AD"/>
    <w:rsid w:val="00931111"/>
    <w:rsid w:val="00935797"/>
    <w:rsid w:val="0093676A"/>
    <w:rsid w:val="00940617"/>
    <w:rsid w:val="00952B4E"/>
    <w:rsid w:val="00974D25"/>
    <w:rsid w:val="00986125"/>
    <w:rsid w:val="009B0164"/>
    <w:rsid w:val="009D5C22"/>
    <w:rsid w:val="009E09ED"/>
    <w:rsid w:val="009E2761"/>
    <w:rsid w:val="00A05233"/>
    <w:rsid w:val="00A13B78"/>
    <w:rsid w:val="00A17F0D"/>
    <w:rsid w:val="00A416E2"/>
    <w:rsid w:val="00A670D5"/>
    <w:rsid w:val="00A92484"/>
    <w:rsid w:val="00AA0B06"/>
    <w:rsid w:val="00AD483F"/>
    <w:rsid w:val="00B11BBD"/>
    <w:rsid w:val="00B11F4C"/>
    <w:rsid w:val="00B22D21"/>
    <w:rsid w:val="00B448DE"/>
    <w:rsid w:val="00B651A6"/>
    <w:rsid w:val="00B6627F"/>
    <w:rsid w:val="00B672F9"/>
    <w:rsid w:val="00B73B85"/>
    <w:rsid w:val="00B81D67"/>
    <w:rsid w:val="00B96CA4"/>
    <w:rsid w:val="00BA5EA3"/>
    <w:rsid w:val="00BB64A0"/>
    <w:rsid w:val="00BC7B66"/>
    <w:rsid w:val="00BE3703"/>
    <w:rsid w:val="00C1380F"/>
    <w:rsid w:val="00C25037"/>
    <w:rsid w:val="00C342AB"/>
    <w:rsid w:val="00C56C91"/>
    <w:rsid w:val="00C605D6"/>
    <w:rsid w:val="00C629AB"/>
    <w:rsid w:val="00C62AC5"/>
    <w:rsid w:val="00C87E10"/>
    <w:rsid w:val="00C90EC6"/>
    <w:rsid w:val="00CA2377"/>
    <w:rsid w:val="00CA2A81"/>
    <w:rsid w:val="00CC4D96"/>
    <w:rsid w:val="00CD480D"/>
    <w:rsid w:val="00CD6A87"/>
    <w:rsid w:val="00CE0FAF"/>
    <w:rsid w:val="00CE334C"/>
    <w:rsid w:val="00CE472D"/>
    <w:rsid w:val="00D06016"/>
    <w:rsid w:val="00D365B5"/>
    <w:rsid w:val="00D5228E"/>
    <w:rsid w:val="00D650EE"/>
    <w:rsid w:val="00D72A81"/>
    <w:rsid w:val="00D77276"/>
    <w:rsid w:val="00D83E92"/>
    <w:rsid w:val="00DA4D38"/>
    <w:rsid w:val="00DD383D"/>
    <w:rsid w:val="00DE00D8"/>
    <w:rsid w:val="00DE15DB"/>
    <w:rsid w:val="00DE722D"/>
    <w:rsid w:val="00E01B8E"/>
    <w:rsid w:val="00E22FB3"/>
    <w:rsid w:val="00E54D9B"/>
    <w:rsid w:val="00E6082D"/>
    <w:rsid w:val="00E71DE3"/>
    <w:rsid w:val="00E73633"/>
    <w:rsid w:val="00E80E86"/>
    <w:rsid w:val="00E84759"/>
    <w:rsid w:val="00E95570"/>
    <w:rsid w:val="00EC14CD"/>
    <w:rsid w:val="00EC7A6A"/>
    <w:rsid w:val="00ED2E4D"/>
    <w:rsid w:val="00EF3A8C"/>
    <w:rsid w:val="00EF4A72"/>
    <w:rsid w:val="00F079FB"/>
    <w:rsid w:val="00F13AC7"/>
    <w:rsid w:val="00F23CD5"/>
    <w:rsid w:val="00F42AC6"/>
    <w:rsid w:val="00F53812"/>
    <w:rsid w:val="00F6533C"/>
    <w:rsid w:val="00F66674"/>
    <w:rsid w:val="00F760E7"/>
    <w:rsid w:val="00F91B55"/>
    <w:rsid w:val="00FA397E"/>
    <w:rsid w:val="00FE0E37"/>
    <w:rsid w:val="00FE4E5F"/>
    <w:rsid w:val="00FF1570"/>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qFormat/>
    <w:rsid w:val="005B10B8"/>
    <w:pPr>
      <w:keepNext/>
      <w:keepLines/>
      <w:spacing w:before="260" w:after="260" w:line="416" w:lineRule="auto"/>
      <w:ind w:left="720" w:hanging="720"/>
      <w:outlineLvl w:val="2"/>
    </w:pPr>
    <w:rPr>
      <w:b/>
      <w:bCs/>
      <w:sz w:val="32"/>
      <w:szCs w:val="32"/>
    </w:rPr>
  </w:style>
  <w:style w:type="paragraph" w:styleId="Heading4">
    <w:name w:val="heading 4"/>
    <w:basedOn w:val="Normal"/>
    <w:next w:val="Normal"/>
    <w:link w:val="Heading4Char"/>
    <w:qFormat/>
    <w:rsid w:val="005B10B8"/>
    <w:pPr>
      <w:keepNext/>
      <w:keepLines/>
      <w:spacing w:before="280" w:after="290" w:line="376" w:lineRule="auto"/>
      <w:ind w:left="864" w:hanging="864"/>
      <w:outlineLvl w:val="3"/>
    </w:pPr>
    <w:rPr>
      <w:rFonts w:ascii="Cambria" w:hAnsi="Cambria"/>
      <w:b/>
      <w:bCs/>
      <w:sz w:val="28"/>
      <w:szCs w:val="28"/>
    </w:rPr>
  </w:style>
  <w:style w:type="paragraph" w:styleId="Heading5">
    <w:name w:val="heading 5"/>
    <w:basedOn w:val="Normal"/>
    <w:next w:val="Normal"/>
    <w:link w:val="Heading5Char"/>
    <w:qFormat/>
    <w:rsid w:val="005B10B8"/>
    <w:pPr>
      <w:keepNext/>
      <w:keepLines/>
      <w:spacing w:before="280" w:after="290" w:line="376" w:lineRule="auto"/>
      <w:ind w:left="1008" w:hanging="1008"/>
      <w:outlineLvl w:val="4"/>
    </w:pPr>
    <w:rPr>
      <w:b/>
      <w:bCs/>
      <w:sz w:val="28"/>
      <w:szCs w:val="28"/>
    </w:rPr>
  </w:style>
  <w:style w:type="paragraph" w:styleId="Heading6">
    <w:name w:val="heading 6"/>
    <w:basedOn w:val="Normal"/>
    <w:next w:val="Normal"/>
    <w:link w:val="Heading6Char"/>
    <w:qFormat/>
    <w:rsid w:val="005B10B8"/>
    <w:pPr>
      <w:keepNext/>
      <w:keepLines/>
      <w:spacing w:before="240" w:after="64" w:line="320" w:lineRule="auto"/>
      <w:ind w:left="1152" w:hanging="1152"/>
      <w:outlineLvl w:val="5"/>
    </w:pPr>
    <w:rPr>
      <w:rFonts w:ascii="Cambria" w:hAnsi="Cambria"/>
      <w:b/>
      <w:bCs/>
      <w:sz w:val="24"/>
    </w:rPr>
  </w:style>
  <w:style w:type="paragraph" w:styleId="Heading7">
    <w:name w:val="heading 7"/>
    <w:basedOn w:val="Normal"/>
    <w:next w:val="Normal"/>
    <w:link w:val="Heading7Char"/>
    <w:qFormat/>
    <w:rsid w:val="005B10B8"/>
    <w:pPr>
      <w:keepNext/>
      <w:keepLines/>
      <w:spacing w:before="240" w:after="64" w:line="320" w:lineRule="auto"/>
      <w:ind w:left="1296" w:hanging="1296"/>
      <w:outlineLvl w:val="6"/>
    </w:pPr>
    <w:rPr>
      <w:b/>
      <w:bCs/>
      <w:sz w:val="24"/>
    </w:rPr>
  </w:style>
  <w:style w:type="paragraph" w:styleId="Heading8">
    <w:name w:val="heading 8"/>
    <w:basedOn w:val="Normal"/>
    <w:next w:val="Normal"/>
    <w:link w:val="Heading8Char"/>
    <w:qFormat/>
    <w:rsid w:val="005B10B8"/>
    <w:pPr>
      <w:keepNext/>
      <w:keepLines/>
      <w:spacing w:before="240" w:after="64" w:line="320" w:lineRule="auto"/>
      <w:ind w:left="1440" w:hanging="1440"/>
      <w:outlineLvl w:val="7"/>
    </w:pPr>
    <w:rPr>
      <w:rFonts w:ascii="Cambria" w:hAnsi="Cambria"/>
      <w:sz w:val="24"/>
    </w:rPr>
  </w:style>
  <w:style w:type="paragraph" w:styleId="Heading9">
    <w:name w:val="heading 9"/>
    <w:basedOn w:val="Normal"/>
    <w:next w:val="Normal"/>
    <w:link w:val="Heading9Char"/>
    <w:qFormat/>
    <w:rsid w:val="005B10B8"/>
    <w:pPr>
      <w:keepNext/>
      <w:keepLines/>
      <w:spacing w:before="240" w:after="64" w:line="320" w:lineRule="auto"/>
      <w:ind w:left="1584" w:hanging="1584"/>
      <w:outlineLvl w:val="8"/>
    </w:pPr>
    <w:rPr>
      <w:rFonts w:ascii="Cambria" w:hAnsi="Cambria"/>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 w:type="character" w:customStyle="1" w:styleId="Heading3Char">
    <w:name w:val="Heading 3 Char"/>
    <w:basedOn w:val="DefaultParagraphFont"/>
    <w:link w:val="Heading3"/>
    <w:rsid w:val="005B10B8"/>
    <w:rPr>
      <w:rFonts w:ascii="Times New Roman" w:eastAsia="宋体" w:hAnsi="Times New Roman" w:cs="Times New Roman"/>
      <w:b/>
      <w:bCs/>
      <w:sz w:val="32"/>
      <w:szCs w:val="32"/>
    </w:rPr>
  </w:style>
  <w:style w:type="character" w:customStyle="1" w:styleId="Heading4Char">
    <w:name w:val="Heading 4 Char"/>
    <w:basedOn w:val="DefaultParagraphFont"/>
    <w:link w:val="Heading4"/>
    <w:rsid w:val="005B10B8"/>
    <w:rPr>
      <w:rFonts w:ascii="Cambria" w:eastAsia="宋体" w:hAnsi="Cambria" w:cs="Times New Roman"/>
      <w:b/>
      <w:bCs/>
      <w:sz w:val="28"/>
      <w:szCs w:val="28"/>
    </w:rPr>
  </w:style>
  <w:style w:type="character" w:customStyle="1" w:styleId="Heading5Char">
    <w:name w:val="Heading 5 Char"/>
    <w:basedOn w:val="DefaultParagraphFont"/>
    <w:link w:val="Heading5"/>
    <w:rsid w:val="005B10B8"/>
    <w:rPr>
      <w:rFonts w:ascii="Times New Roman" w:eastAsia="宋体" w:hAnsi="Times New Roman" w:cs="Times New Roman"/>
      <w:b/>
      <w:bCs/>
      <w:sz w:val="28"/>
      <w:szCs w:val="28"/>
    </w:rPr>
  </w:style>
  <w:style w:type="character" w:customStyle="1" w:styleId="Heading6Char">
    <w:name w:val="Heading 6 Char"/>
    <w:basedOn w:val="DefaultParagraphFont"/>
    <w:link w:val="Heading6"/>
    <w:rsid w:val="005B10B8"/>
    <w:rPr>
      <w:rFonts w:ascii="Cambria" w:eastAsia="宋体" w:hAnsi="Cambria" w:cs="Times New Roman"/>
      <w:b/>
      <w:bCs/>
      <w:sz w:val="24"/>
      <w:szCs w:val="24"/>
    </w:rPr>
  </w:style>
  <w:style w:type="character" w:customStyle="1" w:styleId="Heading7Char">
    <w:name w:val="Heading 7 Char"/>
    <w:basedOn w:val="DefaultParagraphFont"/>
    <w:link w:val="Heading7"/>
    <w:rsid w:val="005B10B8"/>
    <w:rPr>
      <w:rFonts w:ascii="Times New Roman" w:eastAsia="宋体" w:hAnsi="Times New Roman" w:cs="Times New Roman"/>
      <w:b/>
      <w:bCs/>
      <w:sz w:val="24"/>
      <w:szCs w:val="24"/>
    </w:rPr>
  </w:style>
  <w:style w:type="character" w:customStyle="1" w:styleId="Heading8Char">
    <w:name w:val="Heading 8 Char"/>
    <w:basedOn w:val="DefaultParagraphFont"/>
    <w:link w:val="Heading8"/>
    <w:rsid w:val="005B10B8"/>
    <w:rPr>
      <w:rFonts w:ascii="Cambria" w:eastAsia="宋体" w:hAnsi="Cambria" w:cs="Times New Roman"/>
      <w:sz w:val="24"/>
      <w:szCs w:val="24"/>
    </w:rPr>
  </w:style>
  <w:style w:type="character" w:customStyle="1" w:styleId="Heading9Char">
    <w:name w:val="Heading 9 Char"/>
    <w:basedOn w:val="DefaultParagraphFont"/>
    <w:link w:val="Heading9"/>
    <w:rsid w:val="005B10B8"/>
    <w:rPr>
      <w:rFonts w:ascii="Cambria" w:eastAsia="宋体" w:hAnsi="Cambria" w:cs="Times New Roman"/>
      <w:szCs w:val="21"/>
    </w:rPr>
  </w:style>
  <w:style w:type="paragraph" w:customStyle="1" w:styleId="p0">
    <w:name w:val="p0"/>
    <w:basedOn w:val="Normal"/>
    <w:rsid w:val="005B10B8"/>
    <w:pPr>
      <w:widowControl/>
    </w:pPr>
    <w:rPr>
      <w:kern w:val="0"/>
      <w:szCs w:val="21"/>
    </w:rPr>
  </w:style>
  <w:style w:type="paragraph" w:customStyle="1" w:styleId="p15">
    <w:name w:val="p15"/>
    <w:basedOn w:val="Normal"/>
    <w:rsid w:val="005B10B8"/>
    <w:pPr>
      <w:widowControl/>
    </w:pPr>
    <w:rPr>
      <w:kern w:val="0"/>
      <w:szCs w:val="21"/>
    </w:rPr>
  </w:style>
  <w:style w:type="paragraph" w:styleId="CommentText">
    <w:name w:val="annotation text"/>
    <w:basedOn w:val="Normal"/>
    <w:link w:val="CommentTextChar"/>
    <w:semiHidden/>
    <w:rsid w:val="000661C8"/>
    <w:pPr>
      <w:jc w:val="left"/>
    </w:pPr>
  </w:style>
  <w:style w:type="character" w:customStyle="1" w:styleId="CommentTextChar">
    <w:name w:val="Comment Text Char"/>
    <w:basedOn w:val="DefaultParagraphFont"/>
    <w:link w:val="CommentText"/>
    <w:semiHidden/>
    <w:rsid w:val="000661C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E5"/>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qFormat/>
    <w:rsid w:val="005900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qFormat/>
    <w:rsid w:val="005B10B8"/>
    <w:pPr>
      <w:keepNext/>
      <w:keepLines/>
      <w:spacing w:before="260" w:after="260" w:line="416" w:lineRule="auto"/>
      <w:ind w:left="720" w:hanging="720"/>
      <w:outlineLvl w:val="2"/>
    </w:pPr>
    <w:rPr>
      <w:b/>
      <w:bCs/>
      <w:sz w:val="32"/>
      <w:szCs w:val="32"/>
    </w:rPr>
  </w:style>
  <w:style w:type="paragraph" w:styleId="Heading4">
    <w:name w:val="heading 4"/>
    <w:basedOn w:val="Normal"/>
    <w:next w:val="Normal"/>
    <w:link w:val="Heading4Char"/>
    <w:qFormat/>
    <w:rsid w:val="005B10B8"/>
    <w:pPr>
      <w:keepNext/>
      <w:keepLines/>
      <w:spacing w:before="280" w:after="290" w:line="376" w:lineRule="auto"/>
      <w:ind w:left="864" w:hanging="864"/>
      <w:outlineLvl w:val="3"/>
    </w:pPr>
    <w:rPr>
      <w:rFonts w:ascii="Cambria" w:hAnsi="Cambria"/>
      <w:b/>
      <w:bCs/>
      <w:sz w:val="28"/>
      <w:szCs w:val="28"/>
    </w:rPr>
  </w:style>
  <w:style w:type="paragraph" w:styleId="Heading5">
    <w:name w:val="heading 5"/>
    <w:basedOn w:val="Normal"/>
    <w:next w:val="Normal"/>
    <w:link w:val="Heading5Char"/>
    <w:qFormat/>
    <w:rsid w:val="005B10B8"/>
    <w:pPr>
      <w:keepNext/>
      <w:keepLines/>
      <w:spacing w:before="280" w:after="290" w:line="376" w:lineRule="auto"/>
      <w:ind w:left="1008" w:hanging="1008"/>
      <w:outlineLvl w:val="4"/>
    </w:pPr>
    <w:rPr>
      <w:b/>
      <w:bCs/>
      <w:sz w:val="28"/>
      <w:szCs w:val="28"/>
    </w:rPr>
  </w:style>
  <w:style w:type="paragraph" w:styleId="Heading6">
    <w:name w:val="heading 6"/>
    <w:basedOn w:val="Normal"/>
    <w:next w:val="Normal"/>
    <w:link w:val="Heading6Char"/>
    <w:qFormat/>
    <w:rsid w:val="005B10B8"/>
    <w:pPr>
      <w:keepNext/>
      <w:keepLines/>
      <w:spacing w:before="240" w:after="64" w:line="320" w:lineRule="auto"/>
      <w:ind w:left="1152" w:hanging="1152"/>
      <w:outlineLvl w:val="5"/>
    </w:pPr>
    <w:rPr>
      <w:rFonts w:ascii="Cambria" w:hAnsi="Cambria"/>
      <w:b/>
      <w:bCs/>
      <w:sz w:val="24"/>
    </w:rPr>
  </w:style>
  <w:style w:type="paragraph" w:styleId="Heading7">
    <w:name w:val="heading 7"/>
    <w:basedOn w:val="Normal"/>
    <w:next w:val="Normal"/>
    <w:link w:val="Heading7Char"/>
    <w:qFormat/>
    <w:rsid w:val="005B10B8"/>
    <w:pPr>
      <w:keepNext/>
      <w:keepLines/>
      <w:spacing w:before="240" w:after="64" w:line="320" w:lineRule="auto"/>
      <w:ind w:left="1296" w:hanging="1296"/>
      <w:outlineLvl w:val="6"/>
    </w:pPr>
    <w:rPr>
      <w:b/>
      <w:bCs/>
      <w:sz w:val="24"/>
    </w:rPr>
  </w:style>
  <w:style w:type="paragraph" w:styleId="Heading8">
    <w:name w:val="heading 8"/>
    <w:basedOn w:val="Normal"/>
    <w:next w:val="Normal"/>
    <w:link w:val="Heading8Char"/>
    <w:qFormat/>
    <w:rsid w:val="005B10B8"/>
    <w:pPr>
      <w:keepNext/>
      <w:keepLines/>
      <w:spacing w:before="240" w:after="64" w:line="320" w:lineRule="auto"/>
      <w:ind w:left="1440" w:hanging="1440"/>
      <w:outlineLvl w:val="7"/>
    </w:pPr>
    <w:rPr>
      <w:rFonts w:ascii="Cambria" w:hAnsi="Cambria"/>
      <w:sz w:val="24"/>
    </w:rPr>
  </w:style>
  <w:style w:type="paragraph" w:styleId="Heading9">
    <w:name w:val="heading 9"/>
    <w:basedOn w:val="Normal"/>
    <w:next w:val="Normal"/>
    <w:link w:val="Heading9Char"/>
    <w:qFormat/>
    <w:rsid w:val="005B10B8"/>
    <w:pPr>
      <w:keepNext/>
      <w:keepLines/>
      <w:spacing w:before="240" w:after="64" w:line="320" w:lineRule="auto"/>
      <w:ind w:left="1584" w:hanging="1584"/>
      <w:outlineLvl w:val="8"/>
    </w:pPr>
    <w:rPr>
      <w:rFonts w:ascii="Cambria" w:hAnsi="Cambria"/>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00E5"/>
    <w:rPr>
      <w:sz w:val="18"/>
      <w:szCs w:val="18"/>
    </w:rPr>
  </w:style>
  <w:style w:type="paragraph" w:styleId="Footer">
    <w:name w:val="footer"/>
    <w:basedOn w:val="Normal"/>
    <w:link w:val="FooterChar"/>
    <w:unhideWhenUsed/>
    <w:rsid w:val="00590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900E5"/>
    <w:rPr>
      <w:sz w:val="18"/>
      <w:szCs w:val="18"/>
    </w:rPr>
  </w:style>
  <w:style w:type="character" w:customStyle="1" w:styleId="Heading1Char">
    <w:name w:val="Heading 1 Char"/>
    <w:basedOn w:val="DefaultParagraphFont"/>
    <w:link w:val="Heading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Hyperlink">
    <w:name w:val="Hyperlink"/>
    <w:rsid w:val="005900E5"/>
    <w:rPr>
      <w:color w:val="0000FF"/>
      <w:u w:val="single"/>
    </w:rPr>
  </w:style>
  <w:style w:type="paragraph" w:styleId="TOC1">
    <w:name w:val="toc 1"/>
    <w:basedOn w:val="Normal"/>
    <w:next w:val="Normal"/>
    <w:uiPriority w:val="39"/>
    <w:qFormat/>
    <w:rsid w:val="005900E5"/>
  </w:style>
  <w:style w:type="paragraph" w:styleId="TOC2">
    <w:name w:val="toc 2"/>
    <w:basedOn w:val="Normal"/>
    <w:next w:val="Normal"/>
    <w:uiPriority w:val="39"/>
    <w:qFormat/>
    <w:rsid w:val="005900E5"/>
    <w:pPr>
      <w:ind w:leftChars="200" w:left="420"/>
    </w:pPr>
  </w:style>
  <w:style w:type="paragraph" w:styleId="PlainText">
    <w:name w:val="Plain Text"/>
    <w:basedOn w:val="Normal"/>
    <w:link w:val="PlainTextChar"/>
    <w:rsid w:val="005900E5"/>
    <w:rPr>
      <w:rFonts w:ascii="宋体" w:hAnsi="Courier New" w:cs="Courier New"/>
      <w:szCs w:val="21"/>
    </w:rPr>
  </w:style>
  <w:style w:type="character" w:customStyle="1" w:styleId="PlainTextChar">
    <w:name w:val="Plain Text Char"/>
    <w:basedOn w:val="DefaultParagraphFont"/>
    <w:link w:val="PlainText"/>
    <w:rsid w:val="005900E5"/>
    <w:rPr>
      <w:rFonts w:ascii="宋体" w:eastAsia="宋体" w:hAnsi="Courier New" w:cs="Courier New"/>
      <w:szCs w:val="21"/>
    </w:rPr>
  </w:style>
  <w:style w:type="paragraph" w:styleId="BodyText3">
    <w:name w:val="Body Text 3"/>
    <w:basedOn w:val="Normal"/>
    <w:link w:val="BodyText3Char"/>
    <w:rsid w:val="005900E5"/>
    <w:pPr>
      <w:spacing w:afterLines="50" w:after="156" w:line="660" w:lineRule="exact"/>
      <w:jc w:val="center"/>
    </w:pPr>
    <w:rPr>
      <w:rFonts w:ascii="黑体" w:eastAsia="黑体" w:hAnsi="宋体"/>
      <w:sz w:val="48"/>
    </w:rPr>
  </w:style>
  <w:style w:type="character" w:customStyle="1" w:styleId="BodyText3Char">
    <w:name w:val="Body Text 3 Char"/>
    <w:basedOn w:val="DefaultParagraphFont"/>
    <w:link w:val="BodyText3"/>
    <w:rsid w:val="005900E5"/>
    <w:rPr>
      <w:rFonts w:ascii="黑体" w:eastAsia="黑体" w:hAnsi="宋体" w:cs="Times New Roman"/>
      <w:sz w:val="48"/>
      <w:szCs w:val="24"/>
    </w:rPr>
  </w:style>
  <w:style w:type="paragraph" w:customStyle="1" w:styleId="Char1CharCharChar">
    <w:name w:val="Char1 Char Char Char"/>
    <w:basedOn w:val="Normal"/>
    <w:rsid w:val="00E54D9B"/>
    <w:pPr>
      <w:numPr>
        <w:numId w:val="1"/>
      </w:numPr>
      <w:tabs>
        <w:tab w:val="left" w:pos="420"/>
      </w:tabs>
    </w:pPr>
  </w:style>
  <w:style w:type="paragraph" w:styleId="ListParagraph">
    <w:name w:val="List Paragraph"/>
    <w:basedOn w:val="Normal"/>
    <w:uiPriority w:val="34"/>
    <w:qFormat/>
    <w:rsid w:val="000717EF"/>
    <w:pPr>
      <w:ind w:firstLineChars="200" w:firstLine="420"/>
    </w:pPr>
  </w:style>
  <w:style w:type="table" w:styleId="TableGrid">
    <w:name w:val="Table Grid"/>
    <w:basedOn w:val="TableNormal"/>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10A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7D250D"/>
    <w:rPr>
      <w:sz w:val="18"/>
      <w:szCs w:val="18"/>
    </w:rPr>
  </w:style>
  <w:style w:type="character" w:customStyle="1" w:styleId="BalloonTextChar">
    <w:name w:val="Balloon Text Char"/>
    <w:basedOn w:val="DefaultParagraphFont"/>
    <w:link w:val="BalloonText"/>
    <w:uiPriority w:val="99"/>
    <w:semiHidden/>
    <w:rsid w:val="007D250D"/>
    <w:rPr>
      <w:rFonts w:ascii="Times New Roman" w:eastAsia="宋体" w:hAnsi="Times New Roman" w:cs="Times New Roman"/>
      <w:sz w:val="18"/>
      <w:szCs w:val="18"/>
    </w:rPr>
  </w:style>
  <w:style w:type="character" w:customStyle="1" w:styleId="Heading3Char">
    <w:name w:val="Heading 3 Char"/>
    <w:basedOn w:val="DefaultParagraphFont"/>
    <w:link w:val="Heading3"/>
    <w:rsid w:val="005B10B8"/>
    <w:rPr>
      <w:rFonts w:ascii="Times New Roman" w:eastAsia="宋体" w:hAnsi="Times New Roman" w:cs="Times New Roman"/>
      <w:b/>
      <w:bCs/>
      <w:sz w:val="32"/>
      <w:szCs w:val="32"/>
    </w:rPr>
  </w:style>
  <w:style w:type="character" w:customStyle="1" w:styleId="Heading4Char">
    <w:name w:val="Heading 4 Char"/>
    <w:basedOn w:val="DefaultParagraphFont"/>
    <w:link w:val="Heading4"/>
    <w:rsid w:val="005B10B8"/>
    <w:rPr>
      <w:rFonts w:ascii="Cambria" w:eastAsia="宋体" w:hAnsi="Cambria" w:cs="Times New Roman"/>
      <w:b/>
      <w:bCs/>
      <w:sz w:val="28"/>
      <w:szCs w:val="28"/>
    </w:rPr>
  </w:style>
  <w:style w:type="character" w:customStyle="1" w:styleId="Heading5Char">
    <w:name w:val="Heading 5 Char"/>
    <w:basedOn w:val="DefaultParagraphFont"/>
    <w:link w:val="Heading5"/>
    <w:rsid w:val="005B10B8"/>
    <w:rPr>
      <w:rFonts w:ascii="Times New Roman" w:eastAsia="宋体" w:hAnsi="Times New Roman" w:cs="Times New Roman"/>
      <w:b/>
      <w:bCs/>
      <w:sz w:val="28"/>
      <w:szCs w:val="28"/>
    </w:rPr>
  </w:style>
  <w:style w:type="character" w:customStyle="1" w:styleId="Heading6Char">
    <w:name w:val="Heading 6 Char"/>
    <w:basedOn w:val="DefaultParagraphFont"/>
    <w:link w:val="Heading6"/>
    <w:rsid w:val="005B10B8"/>
    <w:rPr>
      <w:rFonts w:ascii="Cambria" w:eastAsia="宋体" w:hAnsi="Cambria" w:cs="Times New Roman"/>
      <w:b/>
      <w:bCs/>
      <w:sz w:val="24"/>
      <w:szCs w:val="24"/>
    </w:rPr>
  </w:style>
  <w:style w:type="character" w:customStyle="1" w:styleId="Heading7Char">
    <w:name w:val="Heading 7 Char"/>
    <w:basedOn w:val="DefaultParagraphFont"/>
    <w:link w:val="Heading7"/>
    <w:rsid w:val="005B10B8"/>
    <w:rPr>
      <w:rFonts w:ascii="Times New Roman" w:eastAsia="宋体" w:hAnsi="Times New Roman" w:cs="Times New Roman"/>
      <w:b/>
      <w:bCs/>
      <w:sz w:val="24"/>
      <w:szCs w:val="24"/>
    </w:rPr>
  </w:style>
  <w:style w:type="character" w:customStyle="1" w:styleId="Heading8Char">
    <w:name w:val="Heading 8 Char"/>
    <w:basedOn w:val="DefaultParagraphFont"/>
    <w:link w:val="Heading8"/>
    <w:rsid w:val="005B10B8"/>
    <w:rPr>
      <w:rFonts w:ascii="Cambria" w:eastAsia="宋体" w:hAnsi="Cambria" w:cs="Times New Roman"/>
      <w:sz w:val="24"/>
      <w:szCs w:val="24"/>
    </w:rPr>
  </w:style>
  <w:style w:type="character" w:customStyle="1" w:styleId="Heading9Char">
    <w:name w:val="Heading 9 Char"/>
    <w:basedOn w:val="DefaultParagraphFont"/>
    <w:link w:val="Heading9"/>
    <w:rsid w:val="005B10B8"/>
    <w:rPr>
      <w:rFonts w:ascii="Cambria" w:eastAsia="宋体" w:hAnsi="Cambria" w:cs="Times New Roman"/>
      <w:szCs w:val="21"/>
    </w:rPr>
  </w:style>
  <w:style w:type="paragraph" w:customStyle="1" w:styleId="p0">
    <w:name w:val="p0"/>
    <w:basedOn w:val="Normal"/>
    <w:rsid w:val="005B10B8"/>
    <w:pPr>
      <w:widowControl/>
    </w:pPr>
    <w:rPr>
      <w:kern w:val="0"/>
      <w:szCs w:val="21"/>
    </w:rPr>
  </w:style>
  <w:style w:type="paragraph" w:customStyle="1" w:styleId="p15">
    <w:name w:val="p15"/>
    <w:basedOn w:val="Normal"/>
    <w:rsid w:val="005B10B8"/>
    <w:pPr>
      <w:widowControl/>
    </w:pPr>
    <w:rPr>
      <w:kern w:val="0"/>
      <w:szCs w:val="21"/>
    </w:rPr>
  </w:style>
  <w:style w:type="paragraph" w:styleId="CommentText">
    <w:name w:val="annotation text"/>
    <w:basedOn w:val="Normal"/>
    <w:link w:val="CommentTextChar"/>
    <w:semiHidden/>
    <w:rsid w:val="000661C8"/>
    <w:pPr>
      <w:jc w:val="left"/>
    </w:pPr>
  </w:style>
  <w:style w:type="character" w:customStyle="1" w:styleId="CommentTextChar">
    <w:name w:val="Comment Text Char"/>
    <w:basedOn w:val="DefaultParagraphFont"/>
    <w:link w:val="CommentText"/>
    <w:semiHidden/>
    <w:rsid w:val="000661C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5059</TotalTime>
  <Pages>20</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Liu_Chang</cp:lastModifiedBy>
  <cp:revision>141</cp:revision>
  <cp:lastPrinted>2014-11-18T01:50:00Z</cp:lastPrinted>
  <dcterms:created xsi:type="dcterms:W3CDTF">2014-03-03T01:06:00Z</dcterms:created>
  <dcterms:modified xsi:type="dcterms:W3CDTF">2015-07-05T14:45:00Z</dcterms:modified>
</cp:coreProperties>
</file>